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3156"/>
    <w:tbl>
      <w:tblPr>
        <w:tblStyle w:val="7"/>
        <w:tblW w:w="885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612"/>
        <w:gridCol w:w="1248"/>
        <w:gridCol w:w="3515"/>
        <w:gridCol w:w="2441"/>
      </w:tblGrid>
      <w:tr w14:paraId="23F1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34" w:type="dxa"/>
            <w:vAlign w:val="center"/>
          </w:tcPr>
          <w:p w14:paraId="63D27E70">
            <w:r>
              <w:rPr>
                <w:rFonts w:hint="eastAsia"/>
              </w:rPr>
              <w:t>评比因素</w:t>
            </w:r>
          </w:p>
        </w:tc>
        <w:tc>
          <w:tcPr>
            <w:tcW w:w="612" w:type="dxa"/>
            <w:vAlign w:val="center"/>
          </w:tcPr>
          <w:p w14:paraId="16AD84B2">
            <w:r>
              <w:rPr>
                <w:rFonts w:hint="eastAsia"/>
              </w:rPr>
              <w:t>分值</w:t>
            </w:r>
          </w:p>
        </w:tc>
        <w:tc>
          <w:tcPr>
            <w:tcW w:w="1248" w:type="dxa"/>
            <w:vAlign w:val="center"/>
          </w:tcPr>
          <w:p w14:paraId="5460B6A8">
            <w:r>
              <w:rPr>
                <w:rFonts w:hint="eastAsia"/>
              </w:rPr>
              <w:t>最高分值</w:t>
            </w:r>
          </w:p>
        </w:tc>
        <w:tc>
          <w:tcPr>
            <w:tcW w:w="5956" w:type="dxa"/>
            <w:gridSpan w:val="2"/>
            <w:vAlign w:val="center"/>
          </w:tcPr>
          <w:p w14:paraId="471B6E7A">
            <w:r>
              <w:rPr>
                <w:rFonts w:hint="eastAsia"/>
              </w:rPr>
              <w:t>评分细则</w:t>
            </w:r>
          </w:p>
        </w:tc>
      </w:tr>
      <w:tr w14:paraId="33C0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34" w:type="dxa"/>
            <w:vAlign w:val="center"/>
          </w:tcPr>
          <w:p w14:paraId="42908E9D">
            <w:r>
              <w:rPr>
                <w:rFonts w:hint="eastAsia"/>
              </w:rPr>
              <w:t>投标价格</w:t>
            </w:r>
          </w:p>
        </w:tc>
        <w:tc>
          <w:tcPr>
            <w:tcW w:w="612" w:type="dxa"/>
            <w:vAlign w:val="center"/>
          </w:tcPr>
          <w:p w14:paraId="5B4F6742">
            <w:r>
              <w:rPr>
                <w:rFonts w:hint="eastAsia"/>
              </w:rPr>
              <w:t>10分</w:t>
            </w:r>
          </w:p>
        </w:tc>
        <w:tc>
          <w:tcPr>
            <w:tcW w:w="1248" w:type="dxa"/>
            <w:vAlign w:val="center"/>
          </w:tcPr>
          <w:p w14:paraId="13696911">
            <w:r>
              <w:rPr>
                <w:rFonts w:hint="eastAsia"/>
              </w:rPr>
              <w:t>10分</w:t>
            </w:r>
          </w:p>
        </w:tc>
        <w:tc>
          <w:tcPr>
            <w:tcW w:w="5956" w:type="dxa"/>
            <w:gridSpan w:val="2"/>
            <w:vAlign w:val="center"/>
          </w:tcPr>
          <w:p w14:paraId="61EE6486">
            <w:pPr>
              <w:pStyle w:val="4"/>
              <w:jc w:val="both"/>
            </w:pPr>
            <w:r>
              <w:rPr>
                <w:rFonts w:hint="eastAsia"/>
              </w:rPr>
              <w:t>投标报价得分</w:t>
            </w:r>
            <w:r>
              <w:t>=(</w:t>
            </w:r>
            <w:r>
              <w:rPr>
                <w:rFonts w:hint="eastAsia"/>
              </w:rPr>
              <w:t>评标基准价÷评标价格</w:t>
            </w:r>
            <w:r>
              <w:t>)</w:t>
            </w:r>
            <w:r>
              <w:rPr>
                <w:rFonts w:hint="eastAsia"/>
              </w:rPr>
              <w:t>×价格分值</w:t>
            </w:r>
          </w:p>
          <w:p w14:paraId="7FD8CE18">
            <w:r>
              <w:rPr>
                <w:rFonts w:hint="eastAsia"/>
              </w:rPr>
              <w:t>注：1、</w:t>
            </w:r>
            <w:r>
              <w:t>“</w:t>
            </w:r>
            <w:r>
              <w:rPr>
                <w:rFonts w:hint="eastAsia"/>
              </w:rPr>
              <w:t>评标基准价</w:t>
            </w:r>
            <w:r>
              <w:t>”</w:t>
            </w:r>
            <w:r>
              <w:rPr>
                <w:rFonts w:hint="eastAsia"/>
              </w:rPr>
              <w:t>是指有效评标价格当中的最低价格。</w:t>
            </w:r>
          </w:p>
          <w:p w14:paraId="0EA59498">
            <w:r>
              <w:rPr>
                <w:rFonts w:hint="eastAsia"/>
              </w:rPr>
              <w:t>2、若投标人为小型或微型企业，评审时，对其投标报价给予6﹪的扣除，用扣除后的价格参与评审。</w:t>
            </w:r>
          </w:p>
          <w:p w14:paraId="38D995CC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3、</w:t>
            </w:r>
            <w:r>
              <w:rPr>
                <w:rFonts w:hint="eastAsia"/>
              </w:rPr>
              <w:t>若投标人的投标报价低于采购预算的50%（含50%），须在投标文件中附有保证服务质量的证明文件，并提供成本分析报告材料，包括拟投入项目的人员数量及其工作时间，工资支出，以及项目实施过程中可能涉及的其他费用。评标委员会将根据（包括但不限于）上述资料评定其投标价格是否低于成本价，若被评定为低于成本价，其投标文件将被评定为无效。</w:t>
            </w:r>
          </w:p>
        </w:tc>
      </w:tr>
      <w:tr w14:paraId="6DCF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034" w:type="dxa"/>
            <w:vMerge w:val="restart"/>
            <w:vAlign w:val="center"/>
          </w:tcPr>
          <w:p w14:paraId="2FD20D1D">
            <w:r>
              <w:rPr>
                <w:rFonts w:hint="eastAsia"/>
              </w:rPr>
              <w:t>技术</w:t>
            </w:r>
          </w:p>
          <w:p w14:paraId="485C7141">
            <w:r>
              <w:rPr>
                <w:rFonts w:hint="eastAsia"/>
              </w:rPr>
              <w:t>部分</w:t>
            </w:r>
          </w:p>
        </w:tc>
        <w:tc>
          <w:tcPr>
            <w:tcW w:w="612" w:type="dxa"/>
            <w:vMerge w:val="restart"/>
            <w:vAlign w:val="center"/>
          </w:tcPr>
          <w:p w14:paraId="431477BA">
            <w:r>
              <w:rPr>
                <w:rFonts w:hint="eastAsia"/>
              </w:rPr>
              <w:t>50分</w:t>
            </w:r>
          </w:p>
        </w:tc>
        <w:tc>
          <w:tcPr>
            <w:tcW w:w="1248" w:type="dxa"/>
            <w:vMerge w:val="restart"/>
            <w:vAlign w:val="center"/>
          </w:tcPr>
          <w:p w14:paraId="5ABDE068">
            <w:r>
              <w:rPr>
                <w:rFonts w:hint="eastAsia"/>
              </w:rPr>
              <w:t>50分</w:t>
            </w:r>
          </w:p>
        </w:tc>
        <w:tc>
          <w:tcPr>
            <w:tcW w:w="3515" w:type="dxa"/>
            <w:vMerge w:val="restart"/>
            <w:vAlign w:val="center"/>
          </w:tcPr>
          <w:p w14:paraId="7E0A4C97">
            <w:r>
              <w:rPr>
                <w:rFonts w:hint="eastAsia"/>
              </w:rPr>
              <w:t>根据投标人对招标文件“第二部分、采购项目内容”之“一、采购项目需求”的整体响应情况进行评分。包括</w:t>
            </w:r>
            <w:r>
              <w:rPr>
                <w:rFonts w:hint="eastAsia"/>
                <w:lang w:val="en-US" w:eastAsia="zh-CN"/>
              </w:rPr>
              <w:t>技术标准、团队构成、拍摄器材、策划方案等是否</w:t>
            </w:r>
            <w:r>
              <w:rPr>
                <w:rFonts w:hint="eastAsia"/>
              </w:rPr>
              <w:t>符合需求，是否具有可行性、吸引力等。</w:t>
            </w:r>
          </w:p>
        </w:tc>
        <w:tc>
          <w:tcPr>
            <w:tcW w:w="2441" w:type="dxa"/>
            <w:vAlign w:val="center"/>
          </w:tcPr>
          <w:p w14:paraId="58844432">
            <w:r>
              <w:rPr>
                <w:rFonts w:hint="eastAsia"/>
              </w:rPr>
              <w:t>被评定为优的，40分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 w:ascii="Arial" w:hAnsi="Arial" w:cs="Arial"/>
              </w:rPr>
              <w:t>得分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 w:ascii="Arial" w:hAnsi="Arial" w:cs="Arial"/>
              </w:rPr>
              <w:t>50分。</w:t>
            </w:r>
          </w:p>
        </w:tc>
      </w:tr>
      <w:tr w14:paraId="269E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034" w:type="dxa"/>
            <w:vMerge w:val="continue"/>
            <w:vAlign w:val="center"/>
          </w:tcPr>
          <w:p w14:paraId="41BE7D84"/>
        </w:tc>
        <w:tc>
          <w:tcPr>
            <w:tcW w:w="612" w:type="dxa"/>
            <w:vMerge w:val="continue"/>
            <w:vAlign w:val="center"/>
          </w:tcPr>
          <w:p w14:paraId="3C3FB55C"/>
        </w:tc>
        <w:tc>
          <w:tcPr>
            <w:tcW w:w="1248" w:type="dxa"/>
            <w:vMerge w:val="continue"/>
            <w:vAlign w:val="center"/>
          </w:tcPr>
          <w:p w14:paraId="641A1EB2"/>
        </w:tc>
        <w:tc>
          <w:tcPr>
            <w:tcW w:w="3515" w:type="dxa"/>
            <w:vMerge w:val="continue"/>
            <w:vAlign w:val="center"/>
          </w:tcPr>
          <w:p w14:paraId="6B3D2566"/>
        </w:tc>
        <w:tc>
          <w:tcPr>
            <w:tcW w:w="2441" w:type="dxa"/>
            <w:vAlign w:val="center"/>
          </w:tcPr>
          <w:p w14:paraId="0D8D3D64">
            <w:r>
              <w:rPr>
                <w:rFonts w:hint="eastAsia"/>
              </w:rPr>
              <w:t>被评定为中的，30分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 w:ascii="Arial" w:hAnsi="Arial" w:cs="Arial"/>
              </w:rPr>
              <w:t>得分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 w:ascii="Arial" w:hAnsi="Arial" w:cs="Arial"/>
              </w:rPr>
              <w:t>39分。</w:t>
            </w:r>
          </w:p>
        </w:tc>
      </w:tr>
      <w:tr w14:paraId="2F45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034" w:type="dxa"/>
            <w:vMerge w:val="continue"/>
            <w:vAlign w:val="center"/>
          </w:tcPr>
          <w:p w14:paraId="1732EC25"/>
        </w:tc>
        <w:tc>
          <w:tcPr>
            <w:tcW w:w="612" w:type="dxa"/>
            <w:vMerge w:val="continue"/>
            <w:vAlign w:val="center"/>
          </w:tcPr>
          <w:p w14:paraId="5B3BE087"/>
        </w:tc>
        <w:tc>
          <w:tcPr>
            <w:tcW w:w="1248" w:type="dxa"/>
            <w:vMerge w:val="continue"/>
            <w:vAlign w:val="center"/>
          </w:tcPr>
          <w:p w14:paraId="6F8079D6"/>
        </w:tc>
        <w:tc>
          <w:tcPr>
            <w:tcW w:w="3515" w:type="dxa"/>
            <w:vMerge w:val="continue"/>
            <w:vAlign w:val="center"/>
          </w:tcPr>
          <w:p w14:paraId="2A62CFC6"/>
        </w:tc>
        <w:tc>
          <w:tcPr>
            <w:tcW w:w="2441" w:type="dxa"/>
            <w:vAlign w:val="center"/>
          </w:tcPr>
          <w:p w14:paraId="021AF7CB">
            <w:r>
              <w:rPr>
                <w:rFonts w:hint="eastAsia"/>
              </w:rPr>
              <w:t>被评定为差的，0分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 w:ascii="Arial" w:hAnsi="Arial" w:cs="Arial"/>
              </w:rPr>
              <w:t>得分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 w:ascii="Arial" w:hAnsi="Arial" w:cs="Arial"/>
              </w:rPr>
              <w:t>29分。</w:t>
            </w:r>
          </w:p>
        </w:tc>
      </w:tr>
      <w:tr w14:paraId="21BA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1034" w:type="dxa"/>
            <w:vMerge w:val="restart"/>
            <w:vAlign w:val="center"/>
          </w:tcPr>
          <w:p w14:paraId="70E8BA02">
            <w:r>
              <w:rPr>
                <w:rFonts w:hint="eastAsia"/>
              </w:rPr>
              <w:t>商务部分</w:t>
            </w:r>
          </w:p>
          <w:p w14:paraId="4FB1F506"/>
        </w:tc>
        <w:tc>
          <w:tcPr>
            <w:tcW w:w="612" w:type="dxa"/>
            <w:vMerge w:val="restart"/>
            <w:vAlign w:val="center"/>
          </w:tcPr>
          <w:p w14:paraId="2DFDC794">
            <w:r>
              <w:rPr>
                <w:rFonts w:hint="eastAsia"/>
              </w:rPr>
              <w:t>40分</w:t>
            </w:r>
          </w:p>
        </w:tc>
        <w:tc>
          <w:tcPr>
            <w:tcW w:w="1248" w:type="dxa"/>
            <w:vAlign w:val="center"/>
          </w:tcPr>
          <w:p w14:paraId="32130D7E">
            <w:r>
              <w:rPr>
                <w:rFonts w:hint="eastAsia"/>
              </w:rPr>
              <w:t>10分</w:t>
            </w:r>
          </w:p>
        </w:tc>
        <w:tc>
          <w:tcPr>
            <w:tcW w:w="3515" w:type="dxa"/>
            <w:vAlign w:val="center"/>
          </w:tcPr>
          <w:p w14:paraId="68D1E7FA">
            <w:r>
              <w:rPr>
                <w:rFonts w:hint="eastAsia"/>
              </w:rPr>
              <w:t>自</w:t>
            </w:r>
            <w:r>
              <w:t>201</w:t>
            </w:r>
            <w:r>
              <w:rPr>
                <w:rFonts w:hint="eastAsia"/>
              </w:rPr>
              <w:t>8年1月1日起至本项目投标截止时间止的完成同类项目(教学医院、高校、企事业单位)业绩进行评分（</w:t>
            </w:r>
            <w:r>
              <w:rPr>
                <w:rFonts w:hint="eastAsia" w:cs="宋体"/>
                <w:kern w:val="0"/>
              </w:rPr>
              <w:t>有效业绩的日期认定以签订合同的日期为准</w:t>
            </w:r>
            <w:r>
              <w:rPr>
                <w:rFonts w:hint="eastAsia"/>
              </w:rPr>
              <w:t>）。【以投标人提供合同关键页（包括采购内容、采购金额、签约日期、双方盖章）的复印件为依据。】</w:t>
            </w:r>
          </w:p>
        </w:tc>
        <w:tc>
          <w:tcPr>
            <w:tcW w:w="2441" w:type="dxa"/>
            <w:vAlign w:val="center"/>
          </w:tcPr>
          <w:p w14:paraId="4E1B3C0C">
            <w:r>
              <w:rPr>
                <w:rFonts w:hint="eastAsia"/>
              </w:rPr>
              <w:t>每提供1个业绩的得1分，本项最高得分10分。</w:t>
            </w:r>
          </w:p>
        </w:tc>
      </w:tr>
      <w:tr w14:paraId="5F42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1034" w:type="dxa"/>
            <w:vMerge w:val="continue"/>
            <w:vAlign w:val="center"/>
          </w:tcPr>
          <w:p w14:paraId="22376FF9"/>
        </w:tc>
        <w:tc>
          <w:tcPr>
            <w:tcW w:w="612" w:type="dxa"/>
            <w:vMerge w:val="continue"/>
            <w:vAlign w:val="center"/>
          </w:tcPr>
          <w:p w14:paraId="4B28DBA8"/>
        </w:tc>
        <w:tc>
          <w:tcPr>
            <w:tcW w:w="1248" w:type="dxa"/>
            <w:vAlign w:val="center"/>
          </w:tcPr>
          <w:p w14:paraId="7D464C7D">
            <w:r>
              <w:rPr>
                <w:rFonts w:hint="eastAsia"/>
              </w:rPr>
              <w:t>10分</w:t>
            </w:r>
          </w:p>
        </w:tc>
        <w:tc>
          <w:tcPr>
            <w:tcW w:w="3515" w:type="dxa"/>
            <w:vAlign w:val="center"/>
          </w:tcPr>
          <w:p w14:paraId="68079188">
            <w:r>
              <w:rPr>
                <w:rFonts w:hint="eastAsia"/>
              </w:rPr>
              <w:t>有依法缴纳税收和社会保障资金的良好记录;依法纳税，有五名以上社保记录，每提供1位得2分；</w:t>
            </w:r>
          </w:p>
          <w:p w14:paraId="39C88858"/>
          <w:p w14:paraId="649E2611"/>
        </w:tc>
        <w:tc>
          <w:tcPr>
            <w:tcW w:w="2441" w:type="dxa"/>
            <w:vAlign w:val="center"/>
          </w:tcPr>
          <w:p w14:paraId="024D38F5">
            <w:r>
              <w:rPr>
                <w:rFonts w:hint="eastAsia"/>
              </w:rPr>
              <w:t>本项最高得10分。</w:t>
            </w:r>
          </w:p>
        </w:tc>
      </w:tr>
      <w:tr w14:paraId="22CA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1034" w:type="dxa"/>
            <w:vMerge w:val="continue"/>
            <w:vAlign w:val="center"/>
          </w:tcPr>
          <w:p w14:paraId="42B576AC"/>
        </w:tc>
        <w:tc>
          <w:tcPr>
            <w:tcW w:w="612" w:type="dxa"/>
            <w:vMerge w:val="continue"/>
            <w:vAlign w:val="center"/>
          </w:tcPr>
          <w:p w14:paraId="664695E1"/>
        </w:tc>
        <w:tc>
          <w:tcPr>
            <w:tcW w:w="1248" w:type="dxa"/>
            <w:vAlign w:val="center"/>
          </w:tcPr>
          <w:p w14:paraId="78E74568">
            <w:r>
              <w:rPr>
                <w:rFonts w:hint="eastAsia"/>
              </w:rPr>
              <w:t>20分</w:t>
            </w:r>
          </w:p>
        </w:tc>
        <w:tc>
          <w:tcPr>
            <w:tcW w:w="3515" w:type="dxa"/>
            <w:vAlign w:val="center"/>
          </w:tcPr>
          <w:p w14:paraId="659F23A4">
            <w:pPr>
              <w:rPr>
                <w:rFonts w:hint="eastAsia"/>
              </w:rPr>
            </w:pPr>
            <w:r>
              <w:rPr>
                <w:rFonts w:hint="eastAsia"/>
              </w:rPr>
              <w:t>投标人必须具有健全的财务会计制度：</w:t>
            </w:r>
          </w:p>
          <w:p w14:paraId="039C1971">
            <w:pPr>
              <w:rPr>
                <w:rFonts w:hint="eastAsia"/>
              </w:rPr>
            </w:pPr>
            <w:r>
              <w:rPr>
                <w:rFonts w:hint="eastAsia"/>
              </w:rPr>
              <w:t>优：财务综合情况优良，一般纳税人，成立三年以上，并提供了最</w:t>
            </w:r>
            <w:r>
              <w:rPr>
                <w:rFonts w:hint="eastAsia"/>
                <w:lang w:val="en-US" w:eastAsia="zh-CN"/>
              </w:rPr>
              <w:t>新年度</w:t>
            </w:r>
            <w:r>
              <w:rPr>
                <w:rFonts w:hint="eastAsia"/>
              </w:rPr>
              <w:t>（2023年）的财务报表</w:t>
            </w:r>
            <w:r>
              <w:rPr>
                <w:rFonts w:hint="eastAsia"/>
                <w:lang w:eastAsia="zh-CN"/>
              </w:rPr>
              <w:t>（资产负债表、利润表）</w:t>
            </w:r>
            <w:r>
              <w:rPr>
                <w:rFonts w:hint="eastAsia"/>
              </w:rPr>
              <w:t>，且数字清晰可辨认。20分</w:t>
            </w:r>
          </w:p>
          <w:p w14:paraId="7346EF2C">
            <w:pPr>
              <w:rPr>
                <w:rFonts w:hint="eastAsia"/>
              </w:rPr>
            </w:pPr>
            <w:r>
              <w:rPr>
                <w:rFonts w:hint="eastAsia"/>
              </w:rPr>
              <w:t>良：财务综合情况较好，小规模纳税人，成立三年左右，并提供了最</w:t>
            </w:r>
            <w:r>
              <w:rPr>
                <w:rFonts w:hint="eastAsia"/>
                <w:lang w:val="en-US" w:eastAsia="zh-CN"/>
              </w:rPr>
              <w:t>新年度</w:t>
            </w:r>
            <w:r>
              <w:rPr>
                <w:rFonts w:hint="eastAsia"/>
              </w:rPr>
              <w:t>（2023年）的财务报表</w:t>
            </w:r>
            <w:r>
              <w:rPr>
                <w:rFonts w:hint="eastAsia"/>
                <w:lang w:eastAsia="zh-CN"/>
              </w:rPr>
              <w:t>（资产负债表、利润表）</w:t>
            </w:r>
            <w:r>
              <w:rPr>
                <w:rFonts w:hint="eastAsia"/>
              </w:rPr>
              <w:t>，且数字清晰可辨认。1</w:t>
            </w:r>
            <w:r>
              <w:t>5</w:t>
            </w:r>
            <w:r>
              <w:rPr>
                <w:rFonts w:hint="eastAsia"/>
              </w:rPr>
              <w:t>分</w:t>
            </w:r>
          </w:p>
          <w:p w14:paraId="28B70790">
            <w:pPr>
              <w:rPr>
                <w:rFonts w:hint="eastAsia"/>
              </w:rPr>
            </w:pPr>
            <w:r>
              <w:rPr>
                <w:rFonts w:hint="eastAsia"/>
              </w:rPr>
              <w:t>一般：财务综合情况一般，小规模纳税人，成立三年以内，或提供的最</w:t>
            </w:r>
            <w:r>
              <w:rPr>
                <w:rFonts w:hint="eastAsia"/>
                <w:lang w:val="en-US" w:eastAsia="zh-CN"/>
              </w:rPr>
              <w:t>新年度</w:t>
            </w:r>
            <w:r>
              <w:rPr>
                <w:rFonts w:hint="eastAsia"/>
              </w:rPr>
              <w:t>（2023年）的财务报表</w:t>
            </w:r>
            <w:r>
              <w:rPr>
                <w:rFonts w:hint="eastAsia"/>
                <w:lang w:eastAsia="zh-CN"/>
              </w:rPr>
              <w:t>（资产负债表、利润表）</w:t>
            </w:r>
            <w:r>
              <w:rPr>
                <w:rFonts w:hint="eastAsia"/>
              </w:rPr>
              <w:t>不完整，或报表数字不清晰。1</w:t>
            </w:r>
            <w:r>
              <w:t>0</w:t>
            </w:r>
            <w:r>
              <w:rPr>
                <w:rFonts w:hint="eastAsia"/>
              </w:rPr>
              <w:t>分</w:t>
            </w:r>
          </w:p>
          <w:p w14:paraId="2E62BD11"/>
        </w:tc>
        <w:tc>
          <w:tcPr>
            <w:tcW w:w="2441" w:type="dxa"/>
            <w:vAlign w:val="center"/>
          </w:tcPr>
          <w:p w14:paraId="0BDE1CFC">
            <w:r>
              <w:rPr>
                <w:rFonts w:hint="eastAsia"/>
              </w:rPr>
              <w:t>本项最高得20分。</w:t>
            </w:r>
          </w:p>
        </w:tc>
      </w:tr>
    </w:tbl>
    <w:p w14:paraId="46AC3D8A">
      <w:r>
        <w:rPr>
          <w:rFonts w:hint="eastAsia"/>
        </w:rPr>
        <w:t>注：1．投标人提供的证明文件须真实、有效。</w:t>
      </w:r>
    </w:p>
    <w:p w14:paraId="04AB1F2E">
      <w:r>
        <w:rPr>
          <w:rFonts w:hint="eastAsia"/>
          <w:szCs w:val="21"/>
        </w:rPr>
        <w:t>2．</w:t>
      </w:r>
      <w:r>
        <w:rPr>
          <w:rFonts w:hint="eastAsia"/>
        </w:rPr>
        <w:t>对于招标文件中载明需原件备查的有关文件资料，投标人在投标时须随身携带其原件。若投标人不能应评标委员会的要求提供该部分文件资料原件核查，则投标人该项评分分值为0分。</w:t>
      </w:r>
    </w:p>
    <w:p w14:paraId="4443E3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3MjM4YjExNGUyMzE4M2M2M2VlMWEwN2M5NGY1ODUifQ=="/>
  </w:docVars>
  <w:rsids>
    <w:rsidRoot w:val="2FD135CC"/>
    <w:rsid w:val="00256CCC"/>
    <w:rsid w:val="0029120A"/>
    <w:rsid w:val="005139C5"/>
    <w:rsid w:val="005F1530"/>
    <w:rsid w:val="0067215B"/>
    <w:rsid w:val="006A7B58"/>
    <w:rsid w:val="00871C67"/>
    <w:rsid w:val="00C22B73"/>
    <w:rsid w:val="00C23257"/>
    <w:rsid w:val="00DD71ED"/>
    <w:rsid w:val="00E559AA"/>
    <w:rsid w:val="0693279F"/>
    <w:rsid w:val="1A320C84"/>
    <w:rsid w:val="1EF63CCD"/>
    <w:rsid w:val="2FD135CC"/>
    <w:rsid w:val="35623CD6"/>
    <w:rsid w:val="4140244C"/>
    <w:rsid w:val="4A7121F5"/>
    <w:rsid w:val="797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88" w:lineRule="auto"/>
      <w:ind w:right="-51"/>
      <w:jc w:val="both"/>
      <w:pPrChange w:id="0" w:author="尹富诚" w:date="2024-07-03T19:14:00Z">
        <w:pPr>
          <w:widowControl w:val="0"/>
          <w:spacing w:line="288" w:lineRule="auto"/>
          <w:ind w:left="-50" w:right="-51"/>
          <w:jc w:val="both"/>
        </w:pPr>
      </w:pPrChange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:rPrChange w:id="1" w:author="尹富诚" w:date="2024-07-03T19:14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qFormat/>
    <w:uiPriority w:val="0"/>
    <w:pPr>
      <w:ind w:firstLine="412"/>
      <w:jc w:val="center"/>
    </w:pPr>
    <w:rPr>
      <w:rFonts w:ascii="宋体" w:hAnsi="宋体"/>
      <w:bCs/>
      <w:szCs w:val="21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right="0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HTML 预设格式 字符"/>
    <w:basedOn w:val="8"/>
    <w:link w:val="5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1048</Words>
  <Characters>1093</Characters>
  <Lines>8</Lines>
  <Paragraphs>2</Paragraphs>
  <TotalTime>2</TotalTime>
  <ScaleCrop>false</ScaleCrop>
  <LinksUpToDate>false</LinksUpToDate>
  <CharactersWithSpaces>1093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2024-07-03T10:53:00Z</dcterms:created>
  <dc:creator>粤生殖</dc:creator>
  <cp:lastModifiedBy>粤生殖</cp:lastModifiedBy>
  <dcterms:modified xsi:type="dcterms:W3CDTF">2024-07-14T23:36:50Z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F14320242B44485BA733D61EA5313C98_13</vt:lpwstr>
  </property>
</Properties>
</file>