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D8A2" w14:textId="57D172E7" w:rsidR="00557696" w:rsidRDefault="00557696" w:rsidP="00557696">
      <w:pPr>
        <w:pStyle w:val="1"/>
        <w:spacing w:line="240" w:lineRule="auto"/>
        <w:jc w:val="center"/>
        <w:rPr>
          <w:sz w:val="32"/>
          <w:szCs w:val="32"/>
        </w:rPr>
      </w:pPr>
      <w:bookmarkStart w:id="0" w:name="_Toc57803416"/>
      <w:r>
        <w:rPr>
          <w:sz w:val="32"/>
          <w:szCs w:val="32"/>
        </w:rPr>
        <w:t>评标方法及标准</w:t>
      </w:r>
      <w:bookmarkEnd w:id="0"/>
    </w:p>
    <w:p w14:paraId="38D998FE" w14:textId="77777777" w:rsidR="00557696" w:rsidRDefault="00557696" w:rsidP="00557696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资格审查</w:t>
      </w:r>
    </w:p>
    <w:p w14:paraId="0ECF0F75" w14:textId="77777777" w:rsidR="00557696" w:rsidRDefault="00557696" w:rsidP="00557696">
      <w:pPr>
        <w:pStyle w:val="2"/>
        <w:ind w:firstLine="420"/>
      </w:pPr>
    </w:p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5773"/>
        <w:gridCol w:w="1952"/>
      </w:tblGrid>
      <w:tr w:rsidR="00557696" w14:paraId="25D7587F" w14:textId="77777777" w:rsidTr="00BD66D9">
        <w:trPr>
          <w:trHeight w:val="532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3890C469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24CBBFDF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审查项目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378C8BAE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审查</w:t>
            </w:r>
            <w:r>
              <w:rPr>
                <w:rFonts w:hint="eastAsia"/>
                <w:b/>
                <w:kern w:val="0"/>
                <w:szCs w:val="21"/>
              </w:rPr>
              <w:t>标准</w:t>
            </w:r>
          </w:p>
        </w:tc>
      </w:tr>
      <w:tr w:rsidR="00557696" w14:paraId="2FD12D01" w14:textId="77777777" w:rsidTr="00BD66D9">
        <w:trPr>
          <w:trHeight w:val="588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516AC226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07A7069F" w14:textId="77777777" w:rsidR="00557696" w:rsidRDefault="00557696" w:rsidP="00BD66D9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响应报价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2DB5BAEF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4A7F675E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06B85276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68403D33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法人或者其他组织的营业执照等主体资格证明文件，自然人的身份证明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0378C08C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5513BF97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14AD56F2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58ED3490" w14:textId="77777777" w:rsidR="00557696" w:rsidRDefault="00557696" w:rsidP="00BD66D9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法定代表人授权委托书</w:t>
            </w:r>
            <w:r>
              <w:rPr>
                <w:kern w:val="0"/>
                <w:szCs w:val="21"/>
              </w:rPr>
              <w:t>（授权代表参加</w:t>
            </w:r>
            <w:r>
              <w:rPr>
                <w:rFonts w:hint="eastAsia"/>
                <w:kern w:val="0"/>
                <w:szCs w:val="21"/>
              </w:rPr>
              <w:t>响应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1F06706D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5532FC9B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1A9F452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200EE048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具备履行合同所必需的专业技术能力的书面承诺</w:t>
            </w:r>
          </w:p>
          <w:p w14:paraId="75BEF29C" w14:textId="77777777" w:rsidR="00557696" w:rsidRDefault="00557696" w:rsidP="00BD66D9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396E3D50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55EF01FA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0119848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5E0BD10E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参加本项目</w:t>
            </w:r>
            <w:r>
              <w:rPr>
                <w:rFonts w:hint="eastAsia"/>
                <w:kern w:val="0"/>
                <w:szCs w:val="21"/>
              </w:rPr>
              <w:t>采购</w:t>
            </w:r>
            <w:r>
              <w:rPr>
                <w:kern w:val="0"/>
                <w:szCs w:val="21"/>
              </w:rPr>
              <w:t>活动前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年内在经营活动中没有重大违法记录的书面声明</w:t>
            </w:r>
          </w:p>
          <w:p w14:paraId="065FEA32" w14:textId="77777777" w:rsidR="00557696" w:rsidRDefault="00557696" w:rsidP="00BD66D9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28A8270E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0CCB3951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4D2BAF02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1FE5BBBE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单位负责人为同一人或者存在直接控股、管理关系的书面说明</w:t>
            </w:r>
          </w:p>
          <w:p w14:paraId="4B601D99" w14:textId="77777777" w:rsidR="00557696" w:rsidRDefault="00557696" w:rsidP="00BD66D9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415C4B8D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154C42A5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6B628AC6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3E72D088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具备法律、行政法规规定的其他条件的证明材料</w:t>
            </w:r>
          </w:p>
          <w:p w14:paraId="55B6BBF5" w14:textId="77777777" w:rsidR="00557696" w:rsidRDefault="00557696" w:rsidP="00BD66D9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5E559BF1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30A97E43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9A58278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4D8AF6DB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符合特定资格条件证明材料复印件或者情况说明</w:t>
            </w:r>
          </w:p>
          <w:p w14:paraId="672D116A" w14:textId="77777777" w:rsidR="00557696" w:rsidRDefault="00557696" w:rsidP="00BD66D9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  <w:szCs w:val="21"/>
              </w:rPr>
              <w:t>提供“第一章供应商特定资格条件”要求的材料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4701F1E3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7BA28753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15DA049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2FDB0975" w14:textId="77777777" w:rsidR="00557696" w:rsidRDefault="00557696" w:rsidP="00BD66D9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不良信用记录查询</w:t>
            </w:r>
          </w:p>
          <w:p w14:paraId="01068794" w14:textId="77777777" w:rsidR="00557696" w:rsidRDefault="00557696" w:rsidP="00BD66D9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注：提供“信用中国”、“中国政府采购网”网页截</w:t>
            </w:r>
            <w:proofErr w:type="gramStart"/>
            <w:r>
              <w:rPr>
                <w:rFonts w:hint="eastAsia"/>
                <w:szCs w:val="21"/>
              </w:rPr>
              <w:t>图材料</w:t>
            </w:r>
            <w:proofErr w:type="gramEnd"/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728BE379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514597AC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52E75F6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02702D1F" w14:textId="77777777" w:rsidR="00557696" w:rsidRDefault="00557696" w:rsidP="00BD66D9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资格证明文件的内容、签署、盖章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247FAE11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557696" w14:paraId="52876C8D" w14:textId="77777777" w:rsidTr="00BD66D9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5D875A0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0C257AA8" w14:textId="77777777" w:rsidR="00557696" w:rsidRDefault="00557696" w:rsidP="00BD66D9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</w:t>
            </w:r>
            <w:r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条款是否有负偏离或其他符合</w:t>
            </w:r>
            <w:r>
              <w:rPr>
                <w:rFonts w:hint="eastAsia"/>
                <w:kern w:val="0"/>
                <w:szCs w:val="21"/>
              </w:rPr>
              <w:t>响应</w:t>
            </w:r>
            <w:r>
              <w:rPr>
                <w:kern w:val="0"/>
                <w:szCs w:val="21"/>
              </w:rPr>
              <w:t>无效的情形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14DF3881" w14:textId="77777777" w:rsidR="00557696" w:rsidRDefault="00557696" w:rsidP="00BD66D9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</w:tbl>
    <w:p w14:paraId="305C4633" w14:textId="77777777" w:rsidR="00557696" w:rsidRDefault="00557696" w:rsidP="00557696">
      <w:pPr>
        <w:adjustRightInd w:val="0"/>
        <w:snapToGrid w:val="0"/>
        <w:spacing w:line="360" w:lineRule="auto"/>
        <w:rPr>
          <w:bCs/>
          <w:sz w:val="24"/>
        </w:rPr>
      </w:pPr>
    </w:p>
    <w:p w14:paraId="5EFDD85C" w14:textId="77777777" w:rsidR="00557696" w:rsidRDefault="00557696" w:rsidP="00557696">
      <w:pPr>
        <w:adjustRightInd w:val="0"/>
        <w:snapToGrid w:val="0"/>
        <w:spacing w:line="360" w:lineRule="auto"/>
        <w:rPr>
          <w:bCs/>
          <w:sz w:val="24"/>
        </w:rPr>
      </w:pPr>
      <w:r>
        <w:rPr>
          <w:sz w:val="24"/>
        </w:rPr>
        <w:t>注：资格审查结果任意一项为不合格的</w:t>
      </w:r>
      <w:r>
        <w:rPr>
          <w:rFonts w:hint="eastAsia"/>
          <w:sz w:val="24"/>
        </w:rPr>
        <w:t>供应商</w:t>
      </w:r>
      <w:r>
        <w:rPr>
          <w:sz w:val="24"/>
        </w:rPr>
        <w:t>，不进入综合评分</w:t>
      </w:r>
      <w:r>
        <w:rPr>
          <w:szCs w:val="21"/>
        </w:rPr>
        <w:t>。</w:t>
      </w:r>
    </w:p>
    <w:p w14:paraId="4B62265A" w14:textId="77777777" w:rsidR="00557696" w:rsidRDefault="00557696" w:rsidP="00557696">
      <w:pPr>
        <w:adjustRightInd w:val="0"/>
        <w:snapToGrid w:val="0"/>
        <w:spacing w:line="360" w:lineRule="auto"/>
        <w:rPr>
          <w:sz w:val="24"/>
        </w:rPr>
      </w:pPr>
    </w:p>
    <w:p w14:paraId="0F6617E0" w14:textId="77777777" w:rsidR="00557696" w:rsidRDefault="00557696" w:rsidP="00557696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</w:p>
    <w:p w14:paraId="5AAEA34C" w14:textId="77777777" w:rsidR="00557696" w:rsidRDefault="00557696" w:rsidP="00557696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</w:p>
    <w:p w14:paraId="78BB79EA" w14:textId="77777777" w:rsidR="00557696" w:rsidRDefault="00557696" w:rsidP="00557696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  <w:sectPr w:rsidR="00557696" w:rsidSect="00557696">
          <w:pgSz w:w="11906" w:h="16838"/>
          <w:pgMar w:top="1191" w:right="1587" w:bottom="1020" w:left="1587" w:header="567" w:footer="567" w:gutter="0"/>
          <w:paperSrc w:first="1" w:other="1"/>
          <w:cols w:space="720"/>
          <w:docGrid w:linePitch="312"/>
        </w:sectPr>
      </w:pPr>
    </w:p>
    <w:p w14:paraId="4B410802" w14:textId="77777777" w:rsidR="00557696" w:rsidRDefault="00557696" w:rsidP="00557696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  <w:r>
        <w:rPr>
          <w:b/>
          <w:sz w:val="30"/>
          <w:szCs w:val="30"/>
        </w:rPr>
        <w:lastRenderedPageBreak/>
        <w:t>二、综合评分表</w:t>
      </w:r>
      <w:r>
        <w:rPr>
          <w:b/>
          <w:sz w:val="24"/>
          <w:szCs w:val="20"/>
        </w:rPr>
        <w:br/>
      </w:r>
    </w:p>
    <w:tbl>
      <w:tblPr>
        <w:tblW w:w="5330" w:type="pct"/>
        <w:tblInd w:w="-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5"/>
        <w:gridCol w:w="1371"/>
        <w:gridCol w:w="5658"/>
        <w:gridCol w:w="842"/>
      </w:tblGrid>
      <w:tr w:rsidR="00557696" w14:paraId="5CE813E4" w14:textId="77777777" w:rsidTr="00BD66D9"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18DD1443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评审</w:t>
            </w:r>
          </w:p>
          <w:p w14:paraId="745F1884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因素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7F3C7969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评审项目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4E0A9BEB" w14:textId="77777777" w:rsidR="00557696" w:rsidRDefault="00557696" w:rsidP="00BD66D9">
            <w:pPr>
              <w:spacing w:line="360" w:lineRule="auto"/>
              <w:ind w:firstLine="48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评审内容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80C5A12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</w:t>
            </w:r>
          </w:p>
        </w:tc>
      </w:tr>
      <w:tr w:rsidR="00557696" w14:paraId="78E5C207" w14:textId="77777777" w:rsidTr="00BD66D9">
        <w:trPr>
          <w:trHeight w:val="1150"/>
        </w:trPr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4E500A3D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价格</w:t>
            </w:r>
          </w:p>
          <w:p w14:paraId="6FA59C07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3F5F9887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响应报价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516B40BE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满足采购文件要求且报价最低的为评审基准价，其价格分为满分，其他有效供应商的价格</w:t>
            </w:r>
            <w:proofErr w:type="gramStart"/>
            <w:r>
              <w:rPr>
                <w:rFonts w:ascii="宋体" w:hAnsi="宋体"/>
                <w:sz w:val="24"/>
              </w:rPr>
              <w:t>分按照</w:t>
            </w:r>
            <w:proofErr w:type="gramEnd"/>
            <w:r>
              <w:rPr>
                <w:rFonts w:ascii="宋体" w:hAnsi="宋体"/>
                <w:sz w:val="24"/>
              </w:rPr>
              <w:t>下列公式计算：报价得分=（评审基准价／报价）×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1A9FA0BA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557696" w14:paraId="4E142FD3" w14:textId="77777777" w:rsidTr="00BD66D9">
        <w:trPr>
          <w:trHeight w:val="1006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21518B2B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商务</w:t>
            </w:r>
          </w:p>
          <w:p w14:paraId="5054B794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5D138321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</w:p>
          <w:p w14:paraId="509A6513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</w:t>
            </w: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</w:tcPr>
          <w:p w14:paraId="4E246CCF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供应商具有</w:t>
            </w: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有效期内的</w:t>
            </w:r>
            <w:r>
              <w:rPr>
                <w:rFonts w:ascii="宋体" w:hAnsi="宋体" w:hint="eastAsia"/>
                <w:sz w:val="24"/>
              </w:rPr>
              <w:t>ISO</w:t>
            </w:r>
            <w:r>
              <w:rPr>
                <w:rFonts w:ascii="宋体" w:hAnsi="宋体"/>
                <w:sz w:val="24"/>
              </w:rPr>
              <w:t>9001</w:t>
            </w:r>
            <w:r>
              <w:rPr>
                <w:rFonts w:ascii="宋体" w:hAnsi="宋体" w:hint="eastAsia"/>
                <w:sz w:val="24"/>
              </w:rPr>
              <w:t>质量管理体系认证证书，IISO20000信息技术服务管理体系认证证书，ISO27001信息安全管理体系认证证书的</w:t>
            </w:r>
            <w:r>
              <w:rPr>
                <w:rFonts w:ascii="宋体" w:hAnsi="宋体"/>
                <w:sz w:val="24"/>
              </w:rPr>
              <w:t>，每提供一个证书</w:t>
            </w:r>
            <w:r>
              <w:rPr>
                <w:rFonts w:ascii="宋体" w:hAnsi="宋体" w:hint="eastAsia"/>
                <w:sz w:val="24"/>
              </w:rPr>
              <w:t>计2分，最高计6分，过期或未提供的不计分。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提供</w:t>
            </w:r>
            <w:proofErr w:type="gramStart"/>
            <w:r>
              <w:rPr>
                <w:rFonts w:ascii="宋体" w:hAnsi="宋体"/>
                <w:sz w:val="24"/>
              </w:rPr>
              <w:t>彩印件并加盖</w:t>
            </w:r>
            <w:proofErr w:type="gramEnd"/>
            <w:r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ascii="宋体" w:hAnsi="宋体"/>
                <w:sz w:val="24"/>
              </w:rPr>
              <w:t>公章）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666F120B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557696" w14:paraId="718C1C42" w14:textId="77777777" w:rsidTr="00BD66D9">
        <w:trPr>
          <w:trHeight w:val="837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777B86D8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58F0FA76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技术人员资质情况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2FC57395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供应商提供技术人员需要有与本项目相关的软件技术专业证书：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44EFF87D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1、具有数据库系统工程师证书，提供1个得2分，本项共2分；</w:t>
            </w:r>
          </w:p>
          <w:p w14:paraId="451CB9B0" w14:textId="77777777" w:rsidR="00557696" w:rsidRDefault="00557696" w:rsidP="00BD66D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2、具有信息系统管理工程师，提供1个得1分，本项共2分；</w:t>
            </w:r>
          </w:p>
          <w:p w14:paraId="7A0C6C73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3、具有网络工程师证书，提供1个得2分，本项共2分；</w:t>
            </w:r>
          </w:p>
          <w:p w14:paraId="49A97DF9" w14:textId="77777777" w:rsidR="00557696" w:rsidRDefault="00557696" w:rsidP="00BD66D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4、具有系统分析师，提供1个得2分，本项共2分；</w:t>
            </w:r>
          </w:p>
          <w:p w14:paraId="06529F97" w14:textId="77777777" w:rsidR="00557696" w:rsidRDefault="00557696" w:rsidP="00BD66D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5、具有项目管理师证书（PMP），提供1个得1分，本项共2分；</w:t>
            </w:r>
          </w:p>
          <w:p w14:paraId="2AC10713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以上5项累计得分，最高得10分，同</w:t>
            </w:r>
            <w:proofErr w:type="gramStart"/>
            <w:r>
              <w:rPr>
                <w:rFonts w:ascii="宋体" w:hAnsi="宋体" w:hint="eastAsia"/>
                <w:sz w:val="24"/>
              </w:rPr>
              <w:t>一人员</w:t>
            </w:r>
            <w:proofErr w:type="gramEnd"/>
            <w:r>
              <w:rPr>
                <w:rFonts w:ascii="宋体" w:hAnsi="宋体" w:hint="eastAsia"/>
                <w:sz w:val="24"/>
              </w:rPr>
              <w:t>不重复得分。</w:t>
            </w:r>
          </w:p>
          <w:p w14:paraId="4A39259D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(提供证书的彩印件及该人员近3个月内任意一个月在供应商所缴交的</w:t>
            </w:r>
            <w:proofErr w:type="gramStart"/>
            <w:r>
              <w:rPr>
                <w:rFonts w:ascii="宋体" w:hAnsi="宋体" w:hint="eastAsia"/>
                <w:sz w:val="24"/>
              </w:rPr>
              <w:t>社保证明</w:t>
            </w:r>
            <w:proofErr w:type="gramEnd"/>
            <w:r>
              <w:rPr>
                <w:rFonts w:ascii="宋体" w:hAnsi="宋体" w:hint="eastAsia"/>
                <w:sz w:val="24"/>
              </w:rPr>
              <w:t>，并加盖供应商公章)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D64DD57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557696" w14:paraId="49998CC1" w14:textId="77777777" w:rsidTr="00BD66D9">
        <w:trPr>
          <w:trHeight w:val="1470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2724FF06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技术</w:t>
            </w:r>
          </w:p>
          <w:p w14:paraId="51584426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69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423B3DC5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供应商对用户需求书重要参</w:t>
            </w:r>
            <w:r>
              <w:rPr>
                <w:rFonts w:ascii="宋体" w:hAnsi="宋体" w:hint="eastAsia"/>
                <w:sz w:val="24"/>
              </w:rPr>
              <w:lastRenderedPageBreak/>
              <w:t>数条款的响应情况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75BD91D8" w14:textId="77777777" w:rsidR="00557696" w:rsidRDefault="00557696" w:rsidP="00BD66D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供应商对重要参数条款（标注 “▲”条款，共9项）的响应情况评定，满分为36分。未能响应标注“▲”条款的，</w:t>
            </w:r>
            <w:proofErr w:type="gramStart"/>
            <w:r>
              <w:rPr>
                <w:rFonts w:ascii="宋体" w:hAnsi="宋体" w:hint="eastAsia"/>
                <w:sz w:val="24"/>
              </w:rPr>
              <w:t>每负偏离</w:t>
            </w:r>
            <w:proofErr w:type="gramEnd"/>
            <w:r>
              <w:rPr>
                <w:rFonts w:ascii="宋体" w:hAnsi="宋体" w:hint="eastAsia"/>
                <w:sz w:val="24"/>
              </w:rPr>
              <w:t>一项扣4分扣完为止。未提供采购</w:t>
            </w:r>
            <w:r>
              <w:rPr>
                <w:rFonts w:ascii="宋体" w:hAnsi="宋体" w:hint="eastAsia"/>
                <w:sz w:val="24"/>
              </w:rPr>
              <w:lastRenderedPageBreak/>
              <w:t>需求响应的视同为负偏离。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490FF29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36</w:t>
            </w:r>
          </w:p>
        </w:tc>
      </w:tr>
      <w:tr w:rsidR="00557696" w14:paraId="4D4B923F" w14:textId="77777777" w:rsidTr="00BD66D9">
        <w:trPr>
          <w:trHeight w:val="1303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22B99F2F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461C8419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产品安全性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4F048B7F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为保证医院的医疗数据安全，要求本项目投标人具备数据安全相关的资质与能力：提供数据安全管理能力认证证书的得5分，不提供不得分。 注：提供有专业认证机构出具的资质证书。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7C686DDC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557696" w14:paraId="79E469F6" w14:textId="77777777" w:rsidTr="00BD66D9">
        <w:trPr>
          <w:trHeight w:val="1303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67366881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2D54131A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整体方案</w:t>
            </w:r>
            <w:r>
              <w:rPr>
                <w:rFonts w:ascii="宋体" w:hAnsi="宋体" w:cs="宋体" w:hint="eastAsia"/>
                <w:sz w:val="24"/>
              </w:rPr>
              <w:t>设计</w:t>
            </w:r>
            <w:r>
              <w:rPr>
                <w:rFonts w:ascii="宋体" w:hAnsi="宋体" w:cs="宋体"/>
                <w:sz w:val="24"/>
              </w:rPr>
              <w:t>响应情况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0D6D980D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根据投标人所提供的整体设计方案（内容需包含：项目背景、需求分析，业务流程等）进行评分，</w:t>
            </w:r>
            <w:r>
              <w:rPr>
                <w:rFonts w:ascii="宋体" w:hAnsi="宋体" w:cs="宋体"/>
                <w:sz w:val="24"/>
              </w:rPr>
              <w:t>方案内容完整、详细、表述清晰、科学合理、切实可行，</w:t>
            </w:r>
            <w:r>
              <w:rPr>
                <w:rFonts w:ascii="宋体" w:hAnsi="宋体" w:cs="宋体" w:hint="eastAsia"/>
                <w:sz w:val="24"/>
              </w:rPr>
              <w:t>计8</w:t>
            </w:r>
            <w:r>
              <w:rPr>
                <w:rFonts w:ascii="宋体" w:hAnsi="宋体" w:cs="宋体"/>
                <w:sz w:val="24"/>
              </w:rPr>
              <w:t>分；方案内容比较完整、详细、表述比较清晰、合理、可行，</w:t>
            </w:r>
            <w:r>
              <w:rPr>
                <w:rFonts w:ascii="宋体" w:hAnsi="宋体" w:cs="宋体" w:hint="eastAsia"/>
                <w:sz w:val="24"/>
              </w:rPr>
              <w:t>计5</w:t>
            </w:r>
            <w:r>
              <w:rPr>
                <w:rFonts w:ascii="宋体" w:hAnsi="宋体" w:cs="宋体"/>
                <w:sz w:val="24"/>
              </w:rPr>
              <w:t>分；方案内容基本完整、表述基本清晰、基本合理可行，</w:t>
            </w:r>
            <w:r>
              <w:rPr>
                <w:rFonts w:ascii="宋体" w:hAnsi="宋体" w:cs="宋体" w:hint="eastAsia"/>
                <w:sz w:val="24"/>
              </w:rPr>
              <w:t>计2</w:t>
            </w:r>
            <w:r>
              <w:rPr>
                <w:rFonts w:ascii="宋体" w:hAnsi="宋体" w:cs="宋体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。未提供的不计分。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406EE8C3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557696" w14:paraId="70B5A168" w14:textId="77777777" w:rsidTr="00BD66D9">
        <w:trPr>
          <w:trHeight w:val="1233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4AC1FC80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0F009757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实施方案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24BA9A1B" w14:textId="77777777" w:rsidR="00557696" w:rsidRDefault="00557696" w:rsidP="00BD66D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根据投标人所提供的实施方案（内容需包含：实施方法论、项目实施计划安排、人员组织分工、项目进度保障措施、系统安全保障措施及方案等）进行评分，</w:t>
            </w:r>
            <w:r>
              <w:rPr>
                <w:rFonts w:ascii="宋体" w:hAnsi="宋体" w:cs="宋体"/>
                <w:sz w:val="24"/>
              </w:rPr>
              <w:t>方案内容完整、详细、表述清晰、科学合理、切实可行，</w:t>
            </w:r>
            <w:r>
              <w:rPr>
                <w:rFonts w:ascii="宋体" w:hAnsi="宋体" w:cs="宋体" w:hint="eastAsia"/>
                <w:sz w:val="24"/>
              </w:rPr>
              <w:t>计5</w:t>
            </w:r>
            <w:r>
              <w:rPr>
                <w:rFonts w:ascii="宋体" w:hAnsi="宋体" w:cs="宋体"/>
                <w:sz w:val="24"/>
              </w:rPr>
              <w:t>分；方案内容比较完整、详细、表述比较清晰、合理、可行，</w:t>
            </w:r>
            <w:r>
              <w:rPr>
                <w:rFonts w:ascii="宋体" w:hAnsi="宋体" w:cs="宋体" w:hint="eastAsia"/>
                <w:sz w:val="24"/>
              </w:rPr>
              <w:t>计3</w:t>
            </w:r>
            <w:r>
              <w:rPr>
                <w:rFonts w:ascii="宋体" w:hAnsi="宋体" w:cs="宋体"/>
                <w:sz w:val="24"/>
              </w:rPr>
              <w:t>分；方案内容基本完整、表述基本清晰、基本合理可行，</w:t>
            </w:r>
            <w:r>
              <w:rPr>
                <w:rFonts w:ascii="宋体" w:hAnsi="宋体" w:cs="宋体" w:hint="eastAsia"/>
                <w:sz w:val="24"/>
              </w:rPr>
              <w:t>计1</w:t>
            </w:r>
            <w:r>
              <w:rPr>
                <w:rFonts w:ascii="宋体" w:hAnsi="宋体" w:cs="宋体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。未提供的不计分。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25B6CBD0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557696" w14:paraId="4B13278D" w14:textId="77777777" w:rsidTr="00BD66D9">
        <w:trPr>
          <w:trHeight w:val="636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02FE117D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67F1A1E1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应急服务方案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3BDC1ACB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供应商针对本项目的项目范围及用户需求制定应急服务方案，对主要内容进行专项、透彻的分析，包括但不限于：①人员框架与职责、②应对措施及机制、③响应速度计划安排、④事后处理方案。应急服务方案全面详实，合理、可操作性强，</w:t>
            </w:r>
            <w:r>
              <w:rPr>
                <w:rFonts w:ascii="宋体" w:hAnsi="宋体" w:hint="eastAsia"/>
                <w:sz w:val="24"/>
              </w:rPr>
              <w:t>完全</w:t>
            </w:r>
            <w:r>
              <w:rPr>
                <w:rFonts w:ascii="宋体" w:hAnsi="宋体"/>
                <w:sz w:val="24"/>
              </w:rPr>
              <w:t>符合上述</w:t>
            </w:r>
            <w:r>
              <w:rPr>
                <w:rFonts w:ascii="宋体" w:hAnsi="宋体" w:hint="eastAsia"/>
                <w:sz w:val="24"/>
              </w:rPr>
              <w:t>所有要求的</w:t>
            </w:r>
            <w:r>
              <w:rPr>
                <w:rFonts w:ascii="宋体" w:hAnsi="宋体"/>
                <w:sz w:val="24"/>
              </w:rPr>
              <w:t>计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分；</w:t>
            </w:r>
            <w:r>
              <w:rPr>
                <w:rFonts w:ascii="宋体" w:hAnsi="宋体" w:hint="eastAsia"/>
                <w:sz w:val="24"/>
              </w:rPr>
              <w:t>有缺漏或响应不完整的一处扣1分，扣完为止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5FCB75D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557696" w14:paraId="0E5A9582" w14:textId="77777777" w:rsidTr="00BD66D9">
        <w:trPr>
          <w:trHeight w:val="1233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38E131FA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324710EC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技术培训方案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6B61040D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方案对采购人的管理人员、操作人员及维护人员进行培训</w:t>
            </w:r>
            <w:r>
              <w:rPr>
                <w:rFonts w:ascii="宋体" w:hAnsi="宋体" w:cs="宋体" w:hint="eastAsia"/>
                <w:sz w:val="24"/>
              </w:rPr>
              <w:t>，并对培训目标，培训管理、培训方式、培</w:t>
            </w:r>
            <w:r>
              <w:rPr>
                <w:rFonts w:ascii="宋体" w:hAnsi="宋体" w:cs="宋体" w:hint="eastAsia"/>
                <w:sz w:val="24"/>
              </w:rPr>
              <w:lastRenderedPageBreak/>
              <w:t>训计划、培训原则及培训准备</w:t>
            </w:r>
            <w:r>
              <w:rPr>
                <w:rFonts w:ascii="宋体" w:hAnsi="宋体" w:cs="宋体"/>
                <w:sz w:val="24"/>
              </w:rPr>
              <w:t>等情况进行评分</w:t>
            </w:r>
            <w:r>
              <w:rPr>
                <w:rFonts w:ascii="宋体" w:hAnsi="宋体" w:cs="宋体" w:hint="eastAsia"/>
                <w:sz w:val="24"/>
              </w:rPr>
              <w:t>，方案</w:t>
            </w:r>
            <w:r>
              <w:rPr>
                <w:rFonts w:ascii="宋体" w:hAnsi="宋体" w:cs="宋体"/>
                <w:sz w:val="24"/>
              </w:rPr>
              <w:t>丰富完善、科学合理、培训讲师专业度高，完全达到用户要求的计5分；计划齐全、欠合理性、培训讲师专业度一般，基本达到用户要求的计3分；计划有遗漏或缺陷、不合理、培训讲师专业度低的计1分。</w:t>
            </w:r>
            <w:r>
              <w:rPr>
                <w:rFonts w:ascii="宋体" w:hAnsi="宋体" w:cs="宋体" w:hint="eastAsia"/>
                <w:sz w:val="24"/>
              </w:rPr>
              <w:t>未提供的不计分。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3E54A28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</w:tr>
      <w:tr w:rsidR="00557696" w14:paraId="6F41ACFC" w14:textId="77777777" w:rsidTr="00BD66D9">
        <w:trPr>
          <w:trHeight w:val="958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44265FD0" w14:textId="77777777" w:rsidR="00557696" w:rsidRDefault="00557696" w:rsidP="00BD66D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0F368243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售后服务方案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 w14:paraId="392FF3B2" w14:textId="77777777" w:rsidR="00557696" w:rsidRDefault="00557696" w:rsidP="00BD66D9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针对本项目有明确的售后服务方案，在</w:t>
            </w:r>
            <w:r>
              <w:rPr>
                <w:rFonts w:ascii="宋体" w:hAnsi="宋体" w:cs="宋体" w:hint="eastAsia"/>
                <w:sz w:val="24"/>
              </w:rPr>
              <w:t>运维服务体系、服务流程及交付方式、服务监督管理、</w:t>
            </w:r>
            <w:r>
              <w:rPr>
                <w:rFonts w:ascii="宋体" w:hAnsi="宋体" w:cs="宋体"/>
                <w:sz w:val="24"/>
              </w:rPr>
              <w:t>质保年限、</w:t>
            </w:r>
            <w:r>
              <w:rPr>
                <w:rFonts w:ascii="宋体" w:hAnsi="宋体" w:cs="宋体" w:hint="eastAsia"/>
                <w:sz w:val="24"/>
              </w:rPr>
              <w:t>主要维护内容</w:t>
            </w:r>
            <w:r>
              <w:rPr>
                <w:rFonts w:ascii="宋体" w:hAnsi="宋体" w:cs="宋体"/>
                <w:sz w:val="24"/>
              </w:rPr>
              <w:t>、发生故障后的补救措施及响应时间等方面，有明确的承诺，并能提供售后服务维修人员详细情况，根据售后服务方案进行评审，方案内容完全符合本采购文件要求的计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分，每出现一处方案缺漏或描述不完整或不符合采购需求等的扣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分，不提供不得分。扣完为止。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7FA4C5B5" w14:textId="77777777" w:rsidR="00557696" w:rsidRDefault="00557696" w:rsidP="00BD66D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</w:tbl>
    <w:p w14:paraId="45961FAE" w14:textId="77777777" w:rsidR="00557696" w:rsidRDefault="00557696" w:rsidP="00557696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</w:p>
    <w:p w14:paraId="2B4A31DA" w14:textId="77777777" w:rsidR="00557696" w:rsidRDefault="00557696" w:rsidP="00557696">
      <w:pPr>
        <w:spacing w:beforeLines="50" w:before="120" w:afterLines="50" w:after="120" w:line="360" w:lineRule="auto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评标委员会对</w:t>
      </w:r>
      <w:r>
        <w:rPr>
          <w:rFonts w:hint="eastAsia"/>
          <w:sz w:val="24"/>
        </w:rPr>
        <w:t>供应商</w:t>
      </w:r>
      <w:r>
        <w:rPr>
          <w:sz w:val="24"/>
        </w:rPr>
        <w:t>评分的算数平均值</w:t>
      </w:r>
      <w:r>
        <w:rPr>
          <w:rFonts w:hint="eastAsia"/>
          <w:sz w:val="24"/>
        </w:rPr>
        <w:t>，</w:t>
      </w:r>
      <w:r>
        <w:rPr>
          <w:sz w:val="24"/>
        </w:rPr>
        <w:t>即为该</w:t>
      </w:r>
      <w:r>
        <w:rPr>
          <w:rFonts w:hint="eastAsia"/>
          <w:sz w:val="24"/>
        </w:rPr>
        <w:t>供应商</w:t>
      </w:r>
      <w:r>
        <w:rPr>
          <w:sz w:val="24"/>
        </w:rPr>
        <w:t>的最终评标得分（不得去</w:t>
      </w:r>
      <w:r>
        <w:rPr>
          <w:rFonts w:hint="eastAsia"/>
          <w:sz w:val="24"/>
        </w:rPr>
        <w:t>掉</w:t>
      </w:r>
      <w:r>
        <w:rPr>
          <w:sz w:val="24"/>
        </w:rPr>
        <w:t>评分项目的最高</w:t>
      </w:r>
      <w:r>
        <w:rPr>
          <w:rFonts w:hint="eastAsia"/>
          <w:sz w:val="24"/>
        </w:rPr>
        <w:t>评分</w:t>
      </w:r>
      <w:r>
        <w:rPr>
          <w:sz w:val="24"/>
        </w:rPr>
        <w:t>和最低</w:t>
      </w:r>
      <w:r>
        <w:rPr>
          <w:rFonts w:hint="eastAsia"/>
          <w:sz w:val="24"/>
        </w:rPr>
        <w:t>评分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评分分值计算保留小数点后两位</w:t>
      </w:r>
      <w:r>
        <w:rPr>
          <w:rFonts w:hint="eastAsia"/>
          <w:sz w:val="24"/>
        </w:rPr>
        <w:t>（</w:t>
      </w:r>
      <w:r>
        <w:rPr>
          <w:sz w:val="24"/>
        </w:rPr>
        <w:t>小数点后第三位</w:t>
      </w:r>
      <w:r>
        <w:rPr>
          <w:sz w:val="24"/>
        </w:rPr>
        <w:t>“</w:t>
      </w:r>
      <w:r>
        <w:rPr>
          <w:sz w:val="24"/>
        </w:rPr>
        <w:t>四舍五入</w:t>
      </w:r>
      <w:r>
        <w:rPr>
          <w:sz w:val="24"/>
        </w:rPr>
        <w:t>”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14:paraId="0B3F201D" w14:textId="4BFB3EC0" w:rsidR="00557696" w:rsidRDefault="00557696" w:rsidP="00557696">
      <w:pPr>
        <w:spacing w:beforeLines="50" w:before="120" w:afterLines="50" w:after="120" w:line="360" w:lineRule="auto"/>
        <w:rPr>
          <w:rFonts w:hint="eastAsia"/>
          <w:sz w:val="24"/>
        </w:rPr>
        <w:sectPr w:rsidR="00557696" w:rsidSect="00557696">
          <w:pgSz w:w="11906" w:h="16838"/>
          <w:pgMar w:top="1191" w:right="1587" w:bottom="1020" w:left="1587" w:header="567" w:footer="567" w:gutter="0"/>
          <w:paperSrc w:first="1" w:other="1"/>
          <w:cols w:space="720"/>
          <w:docGrid w:linePitch="312"/>
        </w:sect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评标结果按最终评标得分由高到低顺序排列</w:t>
      </w:r>
      <w:r>
        <w:rPr>
          <w:rFonts w:hint="eastAsia"/>
          <w:sz w:val="24"/>
        </w:rPr>
        <w:t>。</w:t>
      </w:r>
      <w:r>
        <w:rPr>
          <w:sz w:val="24"/>
        </w:rPr>
        <w:t>综合得分相同的，按</w:t>
      </w:r>
      <w:r>
        <w:rPr>
          <w:rFonts w:hint="eastAsia"/>
          <w:sz w:val="24"/>
        </w:rPr>
        <w:t>响应</w:t>
      </w:r>
      <w:r>
        <w:rPr>
          <w:sz w:val="24"/>
        </w:rPr>
        <w:t>报价由低到高</w:t>
      </w:r>
      <w:r>
        <w:rPr>
          <w:rFonts w:hint="eastAsia"/>
          <w:sz w:val="24"/>
        </w:rPr>
        <w:t>进行</w:t>
      </w:r>
      <w:r>
        <w:rPr>
          <w:sz w:val="24"/>
        </w:rPr>
        <w:t>排列；综合得分且</w:t>
      </w:r>
      <w:r>
        <w:rPr>
          <w:rFonts w:hint="eastAsia"/>
          <w:sz w:val="24"/>
        </w:rPr>
        <w:t>响应</w:t>
      </w:r>
      <w:r>
        <w:rPr>
          <w:sz w:val="24"/>
        </w:rPr>
        <w:t>报价相同的，按技术得分由</w:t>
      </w:r>
    </w:p>
    <w:p w14:paraId="7BA3C390" w14:textId="7BCBB1E2" w:rsidR="00C52045" w:rsidRPr="00557696" w:rsidRDefault="00C52045" w:rsidP="00557696">
      <w:pPr>
        <w:rPr>
          <w:rFonts w:hint="eastAsia"/>
        </w:rPr>
      </w:pPr>
    </w:p>
    <w:sectPr w:rsidR="00C52045" w:rsidRPr="0055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96A1" w14:textId="77777777" w:rsidR="00E570F9" w:rsidRDefault="00E570F9" w:rsidP="00557696">
      <w:pPr>
        <w:rPr>
          <w:rFonts w:hint="eastAsia"/>
        </w:rPr>
      </w:pPr>
      <w:r>
        <w:separator/>
      </w:r>
    </w:p>
  </w:endnote>
  <w:endnote w:type="continuationSeparator" w:id="0">
    <w:p w14:paraId="2B2BDC0E" w14:textId="77777777" w:rsidR="00E570F9" w:rsidRDefault="00E570F9" w:rsidP="005576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长城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95CB" w14:textId="77777777" w:rsidR="00E570F9" w:rsidRDefault="00E570F9" w:rsidP="00557696">
      <w:pPr>
        <w:rPr>
          <w:rFonts w:hint="eastAsia"/>
        </w:rPr>
      </w:pPr>
      <w:r>
        <w:separator/>
      </w:r>
    </w:p>
  </w:footnote>
  <w:footnote w:type="continuationSeparator" w:id="0">
    <w:p w14:paraId="1F90E822" w14:textId="77777777" w:rsidR="00E570F9" w:rsidRDefault="00E570F9" w:rsidP="005576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AD2426"/>
    <w:multiLevelType w:val="singleLevel"/>
    <w:tmpl w:val="E0AD24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189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30"/>
    <w:rsid w:val="00184AE2"/>
    <w:rsid w:val="00350F6E"/>
    <w:rsid w:val="00490CAA"/>
    <w:rsid w:val="00557696"/>
    <w:rsid w:val="005E2099"/>
    <w:rsid w:val="00911230"/>
    <w:rsid w:val="00C52045"/>
    <w:rsid w:val="00CB6F7B"/>
    <w:rsid w:val="00E570F9"/>
    <w:rsid w:val="00F5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B4C0D"/>
  <w15:chartTrackingRefBased/>
  <w15:docId w15:val="{3A3F5E41-A0B3-4BB5-9917-135FA073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3"/>
    <w:next w:val="a"/>
    <w:link w:val="10"/>
    <w:qFormat/>
    <w:rsid w:val="00557696"/>
    <w:pPr>
      <w:adjustRightInd w:val="0"/>
      <w:spacing w:before="340" w:after="330" w:line="578" w:lineRule="atLeast"/>
      <w:textAlignment w:val="baseline"/>
      <w:outlineLvl w:val="0"/>
    </w:pPr>
    <w:rPr>
      <w:bCs w:val="0"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696"/>
    <w:rPr>
      <w:sz w:val="18"/>
      <w:szCs w:val="18"/>
    </w:rPr>
  </w:style>
  <w:style w:type="character" w:customStyle="1" w:styleId="10">
    <w:name w:val="标题 1 字符"/>
    <w:basedOn w:val="a0"/>
    <w:link w:val="1"/>
    <w:rsid w:val="0055769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55769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5769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9"/>
    <w:link w:val="20"/>
    <w:uiPriority w:val="99"/>
    <w:unhideWhenUsed/>
    <w:qFormat/>
    <w:rsid w:val="00557696"/>
    <w:pPr>
      <w:spacing w:beforeLines="100" w:before="240" w:line="360" w:lineRule="auto"/>
      <w:ind w:leftChars="0" w:left="0" w:firstLineChars="200" w:firstLine="480"/>
    </w:pPr>
    <w:rPr>
      <w:color w:val="000000"/>
      <w:kern w:val="0"/>
    </w:rPr>
  </w:style>
  <w:style w:type="character" w:customStyle="1" w:styleId="20">
    <w:name w:val="正文文本首行缩进 2 字符"/>
    <w:basedOn w:val="a8"/>
    <w:link w:val="2"/>
    <w:uiPriority w:val="99"/>
    <w:rsid w:val="00557696"/>
    <w:rPr>
      <w:rFonts w:ascii="Times New Roman" w:eastAsia="宋体" w:hAnsi="Times New Roman" w:cs="Times New Roman"/>
      <w:color w:val="000000"/>
      <w:kern w:val="0"/>
      <w:szCs w:val="24"/>
    </w:rPr>
  </w:style>
  <w:style w:type="paragraph" w:customStyle="1" w:styleId="aa">
    <w:name w:val="文档正文"/>
    <w:basedOn w:val="a"/>
    <w:uiPriority w:val="99"/>
    <w:qFormat/>
    <w:rsid w:val="00557696"/>
    <w:pPr>
      <w:adjustRightInd w:val="0"/>
      <w:spacing w:line="480" w:lineRule="atLeast"/>
      <w:ind w:firstLineChars="200" w:firstLine="567"/>
      <w:textAlignment w:val="baseline"/>
    </w:pPr>
    <w:rPr>
      <w:rFonts w:ascii="长城仿宋"/>
      <w:kern w:val="0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557696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Normal Indent"/>
    <w:basedOn w:val="a"/>
    <w:uiPriority w:val="99"/>
    <w:semiHidden/>
    <w:unhideWhenUsed/>
    <w:rsid w:val="005576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余俊豪</dc:creator>
  <cp:keywords/>
  <dc:description/>
  <cp:lastModifiedBy>余俊豪</cp:lastModifiedBy>
  <cp:revision>2</cp:revision>
  <dcterms:created xsi:type="dcterms:W3CDTF">2024-11-11T03:15:00Z</dcterms:created>
  <dcterms:modified xsi:type="dcterms:W3CDTF">2024-11-11T03:17:00Z</dcterms:modified>
</cp:coreProperties>
</file>