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240" w:lineRule="auto"/>
        <w:jc w:val="center"/>
        <w:rPr>
          <w:b w:val="0"/>
          <w:bCs/>
          <w:kern w:val="0"/>
          <w:sz w:val="32"/>
          <w:szCs w:val="32"/>
        </w:rPr>
      </w:pPr>
      <w:bookmarkStart w:id="0" w:name="_GoBack"/>
      <w:bookmarkEnd w:id="0"/>
      <w:r>
        <w:rPr>
          <w:sz w:val="32"/>
          <w:szCs w:val="32"/>
        </w:rPr>
        <w:t>采购需求</w:t>
      </w:r>
    </w:p>
    <w:p>
      <w:pPr>
        <w:spacing w:line="360" w:lineRule="auto"/>
        <w:rPr>
          <w:sz w:val="24"/>
        </w:rPr>
      </w:pPr>
    </w:p>
    <w:p>
      <w:pPr>
        <w:numPr>
          <w:ilvl w:val="0"/>
          <w:numId w:val="1"/>
        </w:numPr>
        <w:spacing w:line="360" w:lineRule="auto"/>
        <w:rPr>
          <w:b/>
          <w:bCs/>
          <w:sz w:val="24"/>
          <w:szCs w:val="32"/>
        </w:rPr>
      </w:pPr>
      <w:r>
        <w:rPr>
          <w:rFonts w:hint="eastAsia"/>
          <w:b/>
          <w:bCs/>
          <w:sz w:val="24"/>
          <w:szCs w:val="32"/>
        </w:rPr>
        <w:t>采购需求一览表</w:t>
      </w:r>
    </w:p>
    <w:tbl>
      <w:tblPr>
        <w:tblStyle w:val="8"/>
        <w:tblW w:w="4452"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823"/>
        <w:gridCol w:w="1867"/>
        <w:gridCol w:w="1876"/>
        <w:gridCol w:w="1389"/>
        <w:gridCol w:w="163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9" w:hRule="atLeast"/>
          <w:jc w:val="center"/>
        </w:trPr>
        <w:tc>
          <w:tcPr>
            <w:tcW w:w="543" w:type="pct"/>
            <w:tcBorders>
              <w:tl2br w:val="nil"/>
              <w:tr2bl w:val="nil"/>
            </w:tcBorders>
            <w:vAlign w:val="center"/>
          </w:tcPr>
          <w:p>
            <w:pPr>
              <w:jc w:val="center"/>
              <w:rPr>
                <w:b/>
                <w:bCs/>
                <w:sz w:val="24"/>
              </w:rPr>
            </w:pPr>
            <w:r>
              <w:rPr>
                <w:b/>
                <w:bCs/>
                <w:sz w:val="24"/>
              </w:rPr>
              <w:t>包号</w:t>
            </w:r>
          </w:p>
        </w:tc>
        <w:tc>
          <w:tcPr>
            <w:tcW w:w="1230" w:type="pct"/>
            <w:tcBorders>
              <w:tl2br w:val="nil"/>
              <w:tr2bl w:val="nil"/>
            </w:tcBorders>
            <w:vAlign w:val="center"/>
          </w:tcPr>
          <w:p>
            <w:pPr>
              <w:jc w:val="center"/>
              <w:rPr>
                <w:b/>
                <w:bCs/>
                <w:sz w:val="24"/>
              </w:rPr>
            </w:pPr>
            <w:r>
              <w:rPr>
                <w:b/>
                <w:bCs/>
                <w:sz w:val="24"/>
              </w:rPr>
              <w:t>包名</w:t>
            </w:r>
          </w:p>
        </w:tc>
        <w:tc>
          <w:tcPr>
            <w:tcW w:w="1236" w:type="pct"/>
            <w:tcBorders>
              <w:tl2br w:val="nil"/>
              <w:tr2bl w:val="nil"/>
            </w:tcBorders>
            <w:vAlign w:val="center"/>
          </w:tcPr>
          <w:p>
            <w:pPr>
              <w:jc w:val="center"/>
              <w:rPr>
                <w:b/>
                <w:bCs/>
                <w:sz w:val="24"/>
              </w:rPr>
            </w:pPr>
            <w:r>
              <w:rPr>
                <w:b/>
                <w:bCs/>
                <w:sz w:val="24"/>
              </w:rPr>
              <w:t>品目名称</w:t>
            </w:r>
          </w:p>
        </w:tc>
        <w:tc>
          <w:tcPr>
            <w:tcW w:w="915" w:type="pct"/>
            <w:tcBorders>
              <w:tl2br w:val="nil"/>
              <w:tr2bl w:val="nil"/>
            </w:tcBorders>
            <w:vAlign w:val="center"/>
          </w:tcPr>
          <w:p>
            <w:pPr>
              <w:jc w:val="center"/>
              <w:rPr>
                <w:b/>
                <w:bCs/>
                <w:sz w:val="24"/>
              </w:rPr>
            </w:pPr>
            <w:r>
              <w:rPr>
                <w:b/>
                <w:bCs/>
                <w:sz w:val="24"/>
              </w:rPr>
              <w:t>数量</w:t>
            </w:r>
          </w:p>
        </w:tc>
        <w:tc>
          <w:tcPr>
            <w:tcW w:w="1076" w:type="pct"/>
            <w:tcBorders>
              <w:tl2br w:val="nil"/>
              <w:tr2bl w:val="nil"/>
            </w:tcBorders>
            <w:vAlign w:val="center"/>
          </w:tcPr>
          <w:p>
            <w:pPr>
              <w:jc w:val="center"/>
              <w:rPr>
                <w:b/>
                <w:bCs/>
                <w:sz w:val="24"/>
              </w:rPr>
            </w:pPr>
            <w:r>
              <w:rPr>
                <w:b/>
                <w:bCs/>
                <w:sz w:val="24"/>
              </w:rPr>
              <w:t>采购</w:t>
            </w:r>
            <w:r>
              <w:rPr>
                <w:rFonts w:hint="eastAsia"/>
                <w:b/>
                <w:bCs/>
                <w:sz w:val="24"/>
              </w:rPr>
              <w:t>总</w:t>
            </w:r>
            <w:r>
              <w:rPr>
                <w:b/>
                <w:bCs/>
                <w:sz w:val="24"/>
              </w:rPr>
              <w:t>预算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3" w:type="pct"/>
            <w:tcBorders>
              <w:tl2br w:val="nil"/>
              <w:tr2bl w:val="nil"/>
            </w:tcBorders>
            <w:vAlign w:val="center"/>
          </w:tcPr>
          <w:p>
            <w:pPr>
              <w:jc w:val="center"/>
              <w:rPr>
                <w:sz w:val="24"/>
              </w:rPr>
            </w:pPr>
            <w:r>
              <w:rPr>
                <w:rFonts w:hint="eastAsia"/>
                <w:sz w:val="24"/>
              </w:rPr>
              <w:t>1</w:t>
            </w:r>
          </w:p>
        </w:tc>
        <w:tc>
          <w:tcPr>
            <w:tcW w:w="1230" w:type="pct"/>
            <w:tcBorders>
              <w:tl2br w:val="nil"/>
              <w:tr2bl w:val="nil"/>
            </w:tcBorders>
            <w:vAlign w:val="center"/>
          </w:tcPr>
          <w:p>
            <w:pPr>
              <w:jc w:val="center"/>
              <w:rPr>
                <w:sz w:val="24"/>
              </w:rPr>
            </w:pPr>
            <w:r>
              <w:rPr>
                <w:rFonts w:hint="eastAsia"/>
                <w:sz w:val="24"/>
              </w:rPr>
              <w:t>信用就医无感支付</w:t>
            </w:r>
          </w:p>
        </w:tc>
        <w:tc>
          <w:tcPr>
            <w:tcW w:w="1236" w:type="pct"/>
            <w:tcBorders>
              <w:tl2br w:val="nil"/>
              <w:tr2bl w:val="nil"/>
            </w:tcBorders>
            <w:vAlign w:val="center"/>
          </w:tcPr>
          <w:p>
            <w:pPr>
              <w:jc w:val="center"/>
              <w:rPr>
                <w:sz w:val="24"/>
              </w:rPr>
            </w:pPr>
            <w:r>
              <w:rPr>
                <w:rFonts w:hint="eastAsia"/>
                <w:sz w:val="24"/>
              </w:rPr>
              <w:t>信用就医无感支付</w:t>
            </w:r>
          </w:p>
        </w:tc>
        <w:tc>
          <w:tcPr>
            <w:tcW w:w="915" w:type="pct"/>
            <w:tcBorders>
              <w:tl2br w:val="nil"/>
              <w:tr2bl w:val="nil"/>
            </w:tcBorders>
            <w:vAlign w:val="center"/>
          </w:tcPr>
          <w:p>
            <w:pPr>
              <w:pStyle w:val="10"/>
              <w:tabs>
                <w:tab w:val="left" w:pos="445"/>
              </w:tabs>
              <w:ind w:firstLine="0" w:firstLineChars="0"/>
              <w:jc w:val="center"/>
              <w:rPr>
                <w:rFonts w:hint="eastAsia" w:ascii="宋体" w:hAnsi="宋体" w:cs="宋体"/>
                <w:sz w:val="24"/>
                <w:szCs w:val="24"/>
                <w:highlight w:val="yellow"/>
              </w:rPr>
            </w:pPr>
            <w:r>
              <w:rPr>
                <w:rFonts w:hint="eastAsia" w:ascii="宋体" w:hAnsi="宋体" w:cs="宋体"/>
                <w:sz w:val="24"/>
                <w:szCs w:val="24"/>
              </w:rPr>
              <w:t>1套</w:t>
            </w:r>
          </w:p>
        </w:tc>
        <w:tc>
          <w:tcPr>
            <w:tcW w:w="1076" w:type="pct"/>
            <w:tcBorders>
              <w:tl2br w:val="nil"/>
              <w:tr2bl w:val="nil"/>
            </w:tcBorders>
            <w:vAlign w:val="center"/>
          </w:tcPr>
          <w:p>
            <w:pPr>
              <w:pStyle w:val="10"/>
              <w:tabs>
                <w:tab w:val="left" w:pos="445"/>
              </w:tabs>
              <w:ind w:firstLine="0" w:firstLineChars="0"/>
              <w:jc w:val="center"/>
              <w:rPr>
                <w:rFonts w:hint="eastAsia" w:ascii="宋体" w:hAnsi="宋体" w:cs="宋体"/>
                <w:sz w:val="24"/>
                <w:szCs w:val="24"/>
              </w:rPr>
            </w:pPr>
            <w:r>
              <w:rPr>
                <w:rFonts w:hint="eastAsia" w:ascii="宋体" w:hAnsi="宋体" w:cs="宋体"/>
                <w:sz w:val="24"/>
                <w:szCs w:val="24"/>
              </w:rPr>
              <w:t>150,000.00</w:t>
            </w:r>
          </w:p>
        </w:tc>
      </w:tr>
    </w:tbl>
    <w:p>
      <w:pPr>
        <w:pStyle w:val="7"/>
        <w:ind w:firstLine="420"/>
        <w:rPr>
          <w:color w:val="auto"/>
        </w:rPr>
      </w:pPr>
      <w:r>
        <w:rPr>
          <w:color w:val="auto"/>
        </w:rPr>
        <w:t>1</w:t>
      </w:r>
      <w:r>
        <w:rPr>
          <w:rFonts w:hint="eastAsia"/>
          <w:color w:val="auto"/>
        </w:rPr>
        <w:t>、服务期限：</w:t>
      </w:r>
      <w:r>
        <w:rPr>
          <w:rFonts w:hint="eastAsia"/>
          <w:highlight w:val="yellow"/>
        </w:rPr>
        <w:t>自合同签订之日起4个月内完成项目整体上线</w:t>
      </w:r>
      <w:r>
        <w:rPr>
          <w:rFonts w:hint="eastAsia"/>
        </w:rPr>
        <w:t>。</w:t>
      </w:r>
    </w:p>
    <w:p>
      <w:pPr>
        <w:pStyle w:val="7"/>
        <w:ind w:firstLine="420"/>
      </w:pPr>
      <w:r>
        <w:rPr>
          <w:rFonts w:hint="eastAsia"/>
        </w:rPr>
        <w:t>2、服务地点：广东省生殖医院</w:t>
      </w:r>
    </w:p>
    <w:p>
      <w:pPr>
        <w:pStyle w:val="7"/>
        <w:ind w:firstLine="420"/>
      </w:pPr>
      <w:r>
        <w:rPr>
          <w:rFonts w:hint="eastAsia"/>
        </w:rPr>
        <w:t>3、付款方式：</w:t>
      </w:r>
    </w:p>
    <w:p>
      <w:pPr>
        <w:pStyle w:val="7"/>
        <w:ind w:firstLine="420"/>
        <w:rPr>
          <w:highlight w:val="yellow"/>
        </w:rPr>
      </w:pPr>
      <w:r>
        <w:rPr>
          <w:rFonts w:hint="eastAsia"/>
          <w:highlight w:val="yellow"/>
        </w:rPr>
        <w:t>（1）合同签署生效并采购人收到供应商开具的正式发票，30个工作日内，采购人向供应商支付合同总额的40</w:t>
      </w:r>
      <w:r>
        <w:rPr>
          <w:rFonts w:hint="eastAsia" w:ascii="宋体" w:hAnsi="宋体"/>
          <w:highlight w:val="yellow"/>
        </w:rPr>
        <w:t>%</w:t>
      </w:r>
      <w:r>
        <w:rPr>
          <w:rFonts w:hint="eastAsia"/>
          <w:highlight w:val="yellow"/>
        </w:rPr>
        <w:t>；</w:t>
      </w:r>
    </w:p>
    <w:p>
      <w:pPr>
        <w:pStyle w:val="7"/>
        <w:ind w:firstLine="420"/>
      </w:pPr>
      <w:r>
        <w:rPr>
          <w:rFonts w:hint="eastAsia"/>
          <w:highlight w:val="yellow"/>
        </w:rPr>
        <w:t>（2）项目通过验收后，采购人向供应商支付合同总额的60%；</w:t>
      </w:r>
    </w:p>
    <w:p>
      <w:pPr>
        <w:numPr>
          <w:ilvl w:val="0"/>
          <w:numId w:val="2"/>
        </w:numPr>
        <w:spacing w:line="360" w:lineRule="auto"/>
        <w:rPr>
          <w:b/>
          <w:bCs/>
          <w:sz w:val="24"/>
        </w:rPr>
      </w:pPr>
      <w:r>
        <w:rPr>
          <w:b/>
          <w:bCs/>
          <w:sz w:val="24"/>
        </w:rPr>
        <w:t>服务内容</w:t>
      </w:r>
    </w:p>
    <w:p>
      <w:pPr>
        <w:pStyle w:val="11"/>
        <w:spacing w:before="120" w:beforeLines="50" w:after="120" w:afterLines="50" w:line="360" w:lineRule="auto"/>
        <w:ind w:firstLine="482"/>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项目概述</w:t>
      </w:r>
    </w:p>
    <w:p>
      <w:pPr>
        <w:pStyle w:val="11"/>
        <w:spacing w:before="120" w:beforeLines="50" w:after="120" w:afterLines="5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信用就医无感支付”是广州市医保部门为缓解群众就医缴费排队时间长问题推出的便民服务项目，被列入2023年广州市十大民生实事。通过创新开通参保人医保结算无感支付通道，以智能化手段打造基于参保人信用、覆盖门诊及住院待遇业务场景的信用就医服务体系，实现“先看病、后付费”的就医体验，助力解决参保人“看病难、看病贵”问题。这项服务可以实现医保“秒报销”、个人缴费“免排队”、“零操作”，为群众提供全新的就医体验。</w:t>
      </w:r>
    </w:p>
    <w:p>
      <w:pPr>
        <w:pStyle w:val="5"/>
      </w:pPr>
    </w:p>
    <w:p>
      <w:pPr>
        <w:pStyle w:val="11"/>
        <w:spacing w:before="120" w:beforeLines="50" w:after="120" w:afterLines="50" w:line="360" w:lineRule="auto"/>
        <w:ind w:left="142" w:firstLine="0" w:firstLineChars="0"/>
        <w:rPr>
          <w:rFonts w:hint="eastAsia" w:ascii="宋体" w:hAnsi="宋体" w:eastAsia="宋体" w:cs="宋体"/>
          <w:b/>
          <w:bCs/>
          <w:color w:val="000000" w:themeColor="text1"/>
          <w14:textFill>
            <w14:solidFill>
              <w14:schemeClr w14:val="tx1"/>
            </w14:solidFill>
          </w14:textFill>
        </w:rPr>
      </w:pPr>
      <w:r>
        <w:rPr>
          <w:rFonts w:hint="eastAsia" w:ascii="宋体" w:hAnsi="宋体"/>
        </w:rPr>
        <w:t>▲</w:t>
      </w:r>
      <w:r>
        <w:rPr>
          <w:rFonts w:hint="eastAsia" w:ascii="宋体" w:hAnsi="宋体" w:eastAsia="宋体" w:cs="宋体"/>
          <w:b/>
          <w:bCs/>
          <w:color w:val="000000" w:themeColor="text1"/>
          <w14:textFill>
            <w14:solidFill>
              <w14:schemeClr w14:val="tx1"/>
            </w14:solidFill>
          </w14:textFill>
        </w:rPr>
        <w:t>软件系统详细功能要求</w:t>
      </w:r>
    </w:p>
    <w:tbl>
      <w:tblPr>
        <w:tblStyle w:val="8"/>
        <w:tblW w:w="8727" w:type="dxa"/>
        <w:tblInd w:w="88" w:type="dxa"/>
        <w:tblLayout w:type="fixed"/>
        <w:tblCellMar>
          <w:top w:w="0" w:type="dxa"/>
          <w:left w:w="108" w:type="dxa"/>
          <w:bottom w:w="0" w:type="dxa"/>
          <w:right w:w="108" w:type="dxa"/>
        </w:tblCellMar>
      </w:tblPr>
      <w:tblGrid>
        <w:gridCol w:w="826"/>
        <w:gridCol w:w="1369"/>
        <w:gridCol w:w="5092"/>
        <w:gridCol w:w="1440"/>
      </w:tblGrid>
      <w:tr>
        <w:tblPrEx>
          <w:tblCellMar>
            <w:top w:w="0" w:type="dxa"/>
            <w:left w:w="108" w:type="dxa"/>
            <w:bottom w:w="0" w:type="dxa"/>
            <w:right w:w="108" w:type="dxa"/>
          </w:tblCellMar>
        </w:tblPrEx>
        <w:trPr>
          <w:trHeight w:val="630" w:hRule="atLeast"/>
        </w:trPr>
        <w:tc>
          <w:tcPr>
            <w:tcW w:w="826" w:type="dxa"/>
            <w:tcBorders>
              <w:top w:val="single" w:color="000000" w:sz="4" w:space="0"/>
              <w:left w:val="single" w:color="000000" w:sz="4" w:space="0"/>
              <w:bottom w:val="single" w:color="000000" w:sz="4" w:space="0"/>
              <w:right w:val="single" w:color="000000" w:sz="4" w:space="0"/>
            </w:tcBorders>
            <w:shd w:val="clear" w:color="auto" w:fill="548DD4"/>
            <w:vAlign w:val="center"/>
          </w:tcPr>
          <w:p>
            <w:pPr>
              <w:widowControl/>
              <w:jc w:val="center"/>
              <w:textAlignment w:val="center"/>
              <w:rPr>
                <w:rFonts w:hint="eastAsia" w:ascii="宋体" w:hAnsi="宋体" w:cs="仿宋_GB2312"/>
                <w:b/>
                <w:bCs/>
                <w:sz w:val="24"/>
              </w:rPr>
            </w:pPr>
            <w:r>
              <w:rPr>
                <w:rFonts w:hint="eastAsia" w:ascii="宋体" w:hAnsi="宋体" w:cs="仿宋_GB2312"/>
                <w:b/>
                <w:bCs/>
                <w:kern w:val="0"/>
                <w:sz w:val="24"/>
                <w:lang w:bidi="ar"/>
              </w:rPr>
              <w:t>序号</w:t>
            </w:r>
          </w:p>
        </w:tc>
        <w:tc>
          <w:tcPr>
            <w:tcW w:w="1369" w:type="dxa"/>
            <w:tcBorders>
              <w:top w:val="single" w:color="000000" w:sz="4" w:space="0"/>
              <w:left w:val="single" w:color="000000" w:sz="4" w:space="0"/>
              <w:bottom w:val="single" w:color="000000" w:sz="4" w:space="0"/>
              <w:right w:val="single" w:color="000000" w:sz="4" w:space="0"/>
            </w:tcBorders>
            <w:shd w:val="clear" w:color="auto" w:fill="548DD4"/>
            <w:vAlign w:val="center"/>
          </w:tcPr>
          <w:p>
            <w:pPr>
              <w:widowControl/>
              <w:jc w:val="center"/>
              <w:textAlignment w:val="center"/>
              <w:rPr>
                <w:rFonts w:hint="eastAsia" w:ascii="宋体" w:hAnsi="宋体" w:cs="仿宋_GB2312"/>
                <w:b/>
                <w:bCs/>
                <w:sz w:val="24"/>
              </w:rPr>
            </w:pPr>
            <w:r>
              <w:rPr>
                <w:rFonts w:hint="eastAsia" w:ascii="宋体" w:hAnsi="宋体" w:cs="仿宋_GB2312"/>
                <w:b/>
                <w:bCs/>
                <w:kern w:val="0"/>
                <w:sz w:val="24"/>
                <w:lang w:bidi="ar"/>
              </w:rPr>
              <w:t>工作项</w:t>
            </w:r>
          </w:p>
        </w:tc>
        <w:tc>
          <w:tcPr>
            <w:tcW w:w="5092" w:type="dxa"/>
            <w:tcBorders>
              <w:top w:val="single" w:color="000000" w:sz="4" w:space="0"/>
              <w:left w:val="single" w:color="000000" w:sz="4" w:space="0"/>
              <w:bottom w:val="single" w:color="000000" w:sz="4" w:space="0"/>
              <w:right w:val="single" w:color="000000" w:sz="4" w:space="0"/>
            </w:tcBorders>
            <w:shd w:val="clear" w:color="auto" w:fill="548DD4"/>
            <w:vAlign w:val="center"/>
          </w:tcPr>
          <w:p>
            <w:pPr>
              <w:widowControl/>
              <w:jc w:val="center"/>
              <w:textAlignment w:val="center"/>
              <w:rPr>
                <w:rFonts w:hint="eastAsia" w:ascii="宋体" w:hAnsi="宋体" w:cs="仿宋_GB2312"/>
                <w:b/>
                <w:bCs/>
                <w:sz w:val="24"/>
              </w:rPr>
            </w:pPr>
            <w:r>
              <w:rPr>
                <w:rFonts w:hint="eastAsia" w:ascii="宋体" w:hAnsi="宋体" w:cs="仿宋_GB2312"/>
                <w:b/>
                <w:bCs/>
                <w:kern w:val="0"/>
                <w:sz w:val="24"/>
                <w:lang w:bidi="ar"/>
              </w:rPr>
              <w:t>工作内容</w:t>
            </w:r>
          </w:p>
        </w:tc>
        <w:tc>
          <w:tcPr>
            <w:tcW w:w="1440" w:type="dxa"/>
            <w:tcBorders>
              <w:top w:val="single" w:color="000000" w:sz="4" w:space="0"/>
              <w:left w:val="single" w:color="000000" w:sz="4" w:space="0"/>
              <w:bottom w:val="single" w:color="000000" w:sz="4" w:space="0"/>
              <w:right w:val="single" w:color="000000" w:sz="4" w:space="0"/>
            </w:tcBorders>
            <w:shd w:val="clear" w:color="auto" w:fill="548DD4"/>
            <w:vAlign w:val="center"/>
          </w:tcPr>
          <w:p>
            <w:pPr>
              <w:widowControl/>
              <w:jc w:val="center"/>
              <w:textAlignment w:val="center"/>
              <w:rPr>
                <w:rFonts w:hint="eastAsia" w:ascii="宋体" w:hAnsi="宋体" w:cs="仿宋_GB2312"/>
                <w:b/>
                <w:bCs/>
                <w:sz w:val="24"/>
              </w:rPr>
            </w:pPr>
            <w:r>
              <w:rPr>
                <w:rFonts w:hint="eastAsia" w:ascii="宋体" w:hAnsi="宋体" w:cs="仿宋_GB2312"/>
                <w:b/>
                <w:bCs/>
                <w:kern w:val="0"/>
                <w:sz w:val="24"/>
                <w:lang w:bidi="ar"/>
              </w:rPr>
              <w:t>备注</w:t>
            </w:r>
          </w:p>
        </w:tc>
      </w:tr>
      <w:tr>
        <w:tblPrEx>
          <w:tblCellMar>
            <w:top w:w="0" w:type="dxa"/>
            <w:left w:w="108" w:type="dxa"/>
            <w:bottom w:w="0" w:type="dxa"/>
            <w:right w:w="108" w:type="dxa"/>
          </w:tblCellMar>
        </w:tblPrEx>
        <w:trPr>
          <w:trHeight w:val="2119" w:hRule="atLeast"/>
        </w:trPr>
        <w:tc>
          <w:tcPr>
            <w:tcW w:w="8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仿宋_GB2312"/>
                <w:color w:val="000000"/>
                <w:sz w:val="24"/>
              </w:rPr>
            </w:pPr>
            <w:r>
              <w:rPr>
                <w:rFonts w:hint="eastAsia" w:ascii="宋体" w:hAnsi="宋体" w:cs="仿宋_GB2312"/>
                <w:color w:val="000000"/>
                <w:kern w:val="0"/>
                <w:sz w:val="24"/>
                <w:lang w:bidi="ar"/>
              </w:rPr>
              <w:t>1</w:t>
            </w:r>
          </w:p>
        </w:tc>
        <w:tc>
          <w:tcPr>
            <w:tcW w:w="1369"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仿宋_GB2312"/>
                <w:color w:val="000000"/>
                <w:sz w:val="24"/>
              </w:rPr>
            </w:pPr>
            <w:r>
              <w:rPr>
                <w:rFonts w:hint="eastAsia" w:ascii="宋体" w:hAnsi="宋体" w:cs="仿宋_GB2312"/>
                <w:color w:val="000000"/>
                <w:kern w:val="0"/>
                <w:sz w:val="24"/>
                <w:lang w:bidi="ar"/>
              </w:rPr>
              <w:t>住院收费改造</w:t>
            </w:r>
          </w:p>
        </w:tc>
        <w:tc>
          <w:tcPr>
            <w:tcW w:w="50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仿宋_GB2312"/>
                <w:color w:val="000000"/>
                <w:sz w:val="24"/>
              </w:rPr>
            </w:pPr>
            <w:r>
              <w:rPr>
                <w:rFonts w:hint="eastAsia" w:ascii="宋体" w:hAnsi="宋体" w:cs="仿宋_GB2312"/>
                <w:color w:val="000000"/>
                <w:kern w:val="0"/>
                <w:sz w:val="24"/>
                <w:lang w:bidi="ar"/>
              </w:rPr>
              <w:t>住院押金改造：</w:t>
            </w:r>
            <w:r>
              <w:rPr>
                <w:rFonts w:hint="eastAsia" w:ascii="宋体" w:hAnsi="宋体" w:cs="仿宋_GB2312"/>
                <w:color w:val="000000"/>
                <w:kern w:val="0"/>
                <w:sz w:val="24"/>
                <w:lang w:bidi="ar"/>
              </w:rPr>
              <w:br w:type="textWrapping"/>
            </w:r>
            <w:r>
              <w:rPr>
                <w:rFonts w:hint="eastAsia" w:ascii="宋体" w:hAnsi="宋体" w:cs="仿宋_GB2312"/>
                <w:color w:val="000000"/>
                <w:kern w:val="0"/>
                <w:sz w:val="24"/>
                <w:lang w:bidi="ar"/>
              </w:rPr>
              <w:t>2.3.签名算法（SM3）</w:t>
            </w:r>
            <w:r>
              <w:rPr>
                <w:rFonts w:hint="eastAsia" w:ascii="宋体" w:hAnsi="宋体" w:cs="仿宋_GB2312"/>
                <w:color w:val="000000"/>
                <w:kern w:val="0"/>
                <w:sz w:val="24"/>
                <w:lang w:bidi="ar"/>
              </w:rPr>
              <w:br w:type="textWrapping"/>
            </w:r>
            <w:r>
              <w:rPr>
                <w:rFonts w:hint="eastAsia" w:ascii="宋体" w:hAnsi="宋体" w:cs="仿宋_GB2312"/>
                <w:color w:val="000000"/>
                <w:kern w:val="0"/>
                <w:sz w:val="24"/>
                <w:lang w:bidi="ar"/>
              </w:rPr>
              <w:t>2.4.加密算法（SM4）</w:t>
            </w:r>
            <w:r>
              <w:rPr>
                <w:rFonts w:hint="eastAsia" w:ascii="宋体" w:hAnsi="宋体" w:cs="仿宋_GB2312"/>
                <w:color w:val="000000"/>
                <w:kern w:val="0"/>
                <w:sz w:val="24"/>
                <w:lang w:bidi="ar"/>
              </w:rPr>
              <w:br w:type="textWrapping"/>
            </w:r>
            <w:r>
              <w:rPr>
                <w:rFonts w:hint="eastAsia" w:ascii="宋体" w:hAnsi="宋体" w:cs="仿宋_GB2312"/>
                <w:color w:val="000000"/>
                <w:kern w:val="0"/>
                <w:sz w:val="24"/>
                <w:lang w:bidi="ar"/>
              </w:rPr>
              <w:t>3.1.签约查询（transCode：HOS00001）</w:t>
            </w:r>
            <w:r>
              <w:rPr>
                <w:rFonts w:hint="eastAsia" w:ascii="宋体" w:hAnsi="宋体" w:cs="仿宋_GB2312"/>
                <w:color w:val="000000"/>
                <w:kern w:val="0"/>
                <w:sz w:val="24"/>
                <w:lang w:bidi="ar"/>
              </w:rPr>
              <w:br w:type="textWrapping"/>
            </w:r>
            <w:r>
              <w:rPr>
                <w:rFonts w:hint="eastAsia" w:ascii="宋体" w:hAnsi="宋体" w:cs="仿宋_GB2312"/>
                <w:color w:val="000000"/>
                <w:kern w:val="0"/>
                <w:sz w:val="24"/>
                <w:lang w:bidi="ar"/>
              </w:rPr>
              <w:t>3.2.无感支付（transCode：HOS00003）</w:t>
            </w:r>
            <w:r>
              <w:rPr>
                <w:rFonts w:hint="eastAsia" w:ascii="宋体" w:hAnsi="宋体" w:cs="仿宋_GB2312"/>
                <w:color w:val="000000"/>
                <w:kern w:val="0"/>
                <w:sz w:val="24"/>
                <w:lang w:bidi="ar"/>
              </w:rPr>
              <w:br w:type="textWrapping"/>
            </w:r>
            <w:r>
              <w:rPr>
                <w:rFonts w:hint="eastAsia" w:ascii="宋体" w:hAnsi="宋体" w:cs="仿宋_GB2312"/>
                <w:color w:val="000000"/>
                <w:kern w:val="0"/>
                <w:sz w:val="24"/>
                <w:lang w:bidi="ar"/>
              </w:rPr>
              <w:t>3.3.退费（transCode：HOS00004）</w:t>
            </w:r>
            <w:r>
              <w:rPr>
                <w:rFonts w:hint="eastAsia" w:ascii="宋体" w:hAnsi="宋体" w:cs="仿宋_GB2312"/>
                <w:color w:val="000000"/>
                <w:kern w:val="0"/>
                <w:sz w:val="24"/>
                <w:lang w:bidi="ar"/>
              </w:rPr>
              <w:br w:type="textWrapping"/>
            </w:r>
            <w:r>
              <w:rPr>
                <w:rFonts w:hint="eastAsia" w:ascii="宋体" w:hAnsi="宋体" w:cs="仿宋_GB2312"/>
                <w:color w:val="000000"/>
                <w:kern w:val="0"/>
                <w:sz w:val="24"/>
                <w:lang w:bidi="ar"/>
              </w:rPr>
              <w:t>3.7.交易状态查询（transCode：HOS00012）</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仿宋_GB2312"/>
                <w:color w:val="000000"/>
                <w:sz w:val="24"/>
              </w:rPr>
            </w:pPr>
          </w:p>
        </w:tc>
      </w:tr>
      <w:tr>
        <w:tblPrEx>
          <w:tblCellMar>
            <w:top w:w="0" w:type="dxa"/>
            <w:left w:w="108" w:type="dxa"/>
            <w:bottom w:w="0" w:type="dxa"/>
            <w:right w:w="108" w:type="dxa"/>
          </w:tblCellMar>
        </w:tblPrEx>
        <w:trPr>
          <w:trHeight w:val="2520" w:hRule="atLeast"/>
        </w:trPr>
        <w:tc>
          <w:tcPr>
            <w:tcW w:w="8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仿宋_GB2312"/>
                <w:color w:val="000000"/>
                <w:sz w:val="24"/>
              </w:rPr>
            </w:pPr>
            <w:r>
              <w:rPr>
                <w:rFonts w:hint="eastAsia" w:ascii="宋体" w:hAnsi="宋体" w:cs="仿宋_GB2312"/>
                <w:color w:val="000000"/>
                <w:kern w:val="0"/>
                <w:sz w:val="24"/>
                <w:lang w:bidi="ar"/>
              </w:rPr>
              <w:t>2</w:t>
            </w:r>
          </w:p>
        </w:tc>
        <w:tc>
          <w:tcPr>
            <w:tcW w:w="136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仿宋_GB2312"/>
                <w:color w:val="000000"/>
                <w:sz w:val="24"/>
              </w:rPr>
            </w:pPr>
          </w:p>
        </w:tc>
        <w:tc>
          <w:tcPr>
            <w:tcW w:w="50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仿宋_GB2312"/>
                <w:color w:val="000000"/>
                <w:sz w:val="24"/>
              </w:rPr>
            </w:pPr>
            <w:r>
              <w:rPr>
                <w:rFonts w:hint="eastAsia" w:ascii="宋体" w:hAnsi="宋体" w:cs="仿宋_GB2312"/>
                <w:color w:val="000000"/>
                <w:kern w:val="0"/>
                <w:sz w:val="24"/>
                <w:lang w:bidi="ar"/>
              </w:rPr>
              <w:t>住院清账改造：</w:t>
            </w:r>
            <w:r>
              <w:rPr>
                <w:rFonts w:hint="eastAsia" w:ascii="宋体" w:hAnsi="宋体" w:cs="仿宋_GB2312"/>
                <w:color w:val="000000"/>
                <w:kern w:val="0"/>
                <w:sz w:val="24"/>
                <w:lang w:bidi="ar"/>
              </w:rPr>
              <w:br w:type="textWrapping"/>
            </w:r>
            <w:r>
              <w:rPr>
                <w:rFonts w:hint="eastAsia" w:ascii="宋体" w:hAnsi="宋体" w:cs="仿宋_GB2312"/>
                <w:color w:val="000000"/>
                <w:kern w:val="0"/>
                <w:sz w:val="24"/>
                <w:lang w:bidi="ar"/>
              </w:rPr>
              <w:t>2.3.签名算法（SM3）</w:t>
            </w:r>
            <w:r>
              <w:rPr>
                <w:rFonts w:hint="eastAsia" w:ascii="宋体" w:hAnsi="宋体" w:cs="仿宋_GB2312"/>
                <w:color w:val="000000"/>
                <w:kern w:val="0"/>
                <w:sz w:val="24"/>
                <w:lang w:bidi="ar"/>
              </w:rPr>
              <w:br w:type="textWrapping"/>
            </w:r>
            <w:r>
              <w:rPr>
                <w:rFonts w:hint="eastAsia" w:ascii="宋体" w:hAnsi="宋体" w:cs="仿宋_GB2312"/>
                <w:color w:val="000000"/>
                <w:kern w:val="0"/>
                <w:sz w:val="24"/>
                <w:lang w:bidi="ar"/>
              </w:rPr>
              <w:t>2.4.加密算法（SM4）</w:t>
            </w:r>
            <w:r>
              <w:rPr>
                <w:rFonts w:hint="eastAsia" w:ascii="宋体" w:hAnsi="宋体" w:cs="仿宋_GB2312"/>
                <w:color w:val="000000"/>
                <w:kern w:val="0"/>
                <w:sz w:val="24"/>
                <w:lang w:bidi="ar"/>
              </w:rPr>
              <w:br w:type="textWrapping"/>
            </w:r>
            <w:r>
              <w:rPr>
                <w:rFonts w:hint="eastAsia" w:ascii="宋体" w:hAnsi="宋体" w:cs="仿宋_GB2312"/>
                <w:color w:val="000000"/>
                <w:kern w:val="0"/>
                <w:sz w:val="24"/>
                <w:lang w:bidi="ar"/>
              </w:rPr>
              <w:t>3.1.签约查询（transCode：HOS00001）</w:t>
            </w:r>
            <w:r>
              <w:rPr>
                <w:rFonts w:hint="eastAsia" w:ascii="宋体" w:hAnsi="宋体" w:cs="仿宋_GB2312"/>
                <w:color w:val="000000"/>
                <w:kern w:val="0"/>
                <w:sz w:val="24"/>
                <w:lang w:bidi="ar"/>
              </w:rPr>
              <w:br w:type="textWrapping"/>
            </w:r>
            <w:r>
              <w:rPr>
                <w:rFonts w:hint="eastAsia" w:ascii="宋体" w:hAnsi="宋体" w:cs="仿宋_GB2312"/>
                <w:color w:val="000000"/>
                <w:kern w:val="0"/>
                <w:sz w:val="24"/>
                <w:lang w:bidi="ar"/>
              </w:rPr>
              <w:t>3.2.无感支付（transCode：HOS00003）</w:t>
            </w:r>
            <w:r>
              <w:rPr>
                <w:rFonts w:hint="eastAsia" w:ascii="宋体" w:hAnsi="宋体" w:cs="仿宋_GB2312"/>
                <w:color w:val="000000"/>
                <w:kern w:val="0"/>
                <w:sz w:val="24"/>
                <w:lang w:bidi="ar"/>
              </w:rPr>
              <w:br w:type="textWrapping"/>
            </w:r>
            <w:r>
              <w:rPr>
                <w:rFonts w:hint="eastAsia" w:ascii="宋体" w:hAnsi="宋体" w:cs="仿宋_GB2312"/>
                <w:color w:val="000000"/>
                <w:kern w:val="0"/>
                <w:sz w:val="24"/>
                <w:lang w:bidi="ar"/>
              </w:rPr>
              <w:t>3.3.退费（transCode：HOS00004）</w:t>
            </w:r>
            <w:r>
              <w:rPr>
                <w:rFonts w:hint="eastAsia" w:ascii="宋体" w:hAnsi="宋体" w:cs="仿宋_GB2312"/>
                <w:color w:val="000000"/>
                <w:kern w:val="0"/>
                <w:sz w:val="24"/>
                <w:lang w:bidi="ar"/>
              </w:rPr>
              <w:br w:type="textWrapping"/>
            </w:r>
            <w:r>
              <w:rPr>
                <w:rFonts w:hint="eastAsia" w:ascii="宋体" w:hAnsi="宋体" w:cs="仿宋_GB2312"/>
                <w:color w:val="000000"/>
                <w:kern w:val="0"/>
                <w:sz w:val="24"/>
                <w:lang w:bidi="ar"/>
              </w:rPr>
              <w:t>3.4.出院结算（transCode：HOS00014）</w:t>
            </w:r>
            <w:r>
              <w:rPr>
                <w:rFonts w:hint="eastAsia" w:ascii="宋体" w:hAnsi="宋体" w:cs="仿宋_GB2312"/>
                <w:color w:val="000000"/>
                <w:kern w:val="0"/>
                <w:sz w:val="24"/>
                <w:lang w:bidi="ar"/>
              </w:rPr>
              <w:br w:type="textWrapping"/>
            </w:r>
            <w:r>
              <w:rPr>
                <w:rFonts w:hint="eastAsia" w:ascii="宋体" w:hAnsi="宋体" w:cs="仿宋_GB2312"/>
                <w:color w:val="000000"/>
                <w:kern w:val="0"/>
                <w:sz w:val="24"/>
                <w:lang w:bidi="ar"/>
              </w:rPr>
              <w:t>3.5.出院结算结果查询（transCode：HOS00015）</w:t>
            </w:r>
            <w:r>
              <w:rPr>
                <w:rFonts w:hint="eastAsia" w:ascii="宋体" w:hAnsi="宋体" w:cs="仿宋_GB2312"/>
                <w:color w:val="000000"/>
                <w:kern w:val="0"/>
                <w:sz w:val="24"/>
                <w:lang w:bidi="ar"/>
              </w:rPr>
              <w:br w:type="textWrapping"/>
            </w:r>
            <w:r>
              <w:rPr>
                <w:rFonts w:hint="eastAsia" w:ascii="宋体" w:hAnsi="宋体" w:cs="仿宋_GB2312"/>
                <w:color w:val="000000"/>
                <w:kern w:val="0"/>
                <w:sz w:val="24"/>
                <w:lang w:bidi="ar"/>
              </w:rPr>
              <w:t>3.7.交易状态查询（transCode：HOS00012）</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仿宋_GB2312"/>
                <w:color w:val="000000"/>
                <w:sz w:val="24"/>
              </w:rPr>
            </w:pPr>
          </w:p>
        </w:tc>
      </w:tr>
      <w:tr>
        <w:tblPrEx>
          <w:tblCellMar>
            <w:top w:w="0" w:type="dxa"/>
            <w:left w:w="108" w:type="dxa"/>
            <w:bottom w:w="0" w:type="dxa"/>
            <w:right w:w="108" w:type="dxa"/>
          </w:tblCellMar>
        </w:tblPrEx>
        <w:trPr>
          <w:trHeight w:val="3255" w:hRule="atLeast"/>
        </w:trPr>
        <w:tc>
          <w:tcPr>
            <w:tcW w:w="8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仿宋_GB2312"/>
                <w:color w:val="000000"/>
                <w:sz w:val="24"/>
              </w:rPr>
            </w:pPr>
            <w:r>
              <w:rPr>
                <w:rFonts w:hint="eastAsia" w:ascii="宋体" w:hAnsi="宋体" w:cs="仿宋_GB2312"/>
                <w:color w:val="000000"/>
                <w:kern w:val="0"/>
                <w:sz w:val="24"/>
                <w:lang w:bidi="ar"/>
              </w:rPr>
              <w:t>3</w:t>
            </w:r>
          </w:p>
        </w:tc>
        <w:tc>
          <w:tcPr>
            <w:tcW w:w="13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仿宋_GB2312"/>
                <w:color w:val="000000"/>
                <w:sz w:val="24"/>
              </w:rPr>
            </w:pPr>
            <w:r>
              <w:rPr>
                <w:rFonts w:hint="eastAsia" w:ascii="宋体" w:hAnsi="宋体" w:cs="仿宋_GB2312"/>
                <w:color w:val="000000"/>
                <w:kern w:val="0"/>
                <w:sz w:val="24"/>
                <w:lang w:bidi="ar"/>
              </w:rPr>
              <w:t>门诊挂号改造</w:t>
            </w:r>
          </w:p>
        </w:tc>
        <w:tc>
          <w:tcPr>
            <w:tcW w:w="50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仿宋_GB2312"/>
                <w:color w:val="000000"/>
                <w:sz w:val="24"/>
              </w:rPr>
            </w:pPr>
            <w:r>
              <w:rPr>
                <w:rFonts w:hint="eastAsia" w:ascii="宋体" w:hAnsi="宋体" w:cs="仿宋_GB2312"/>
                <w:color w:val="000000"/>
                <w:kern w:val="0"/>
                <w:sz w:val="24"/>
                <w:lang w:bidi="ar"/>
              </w:rPr>
              <w:t>1、挂号窗口改造，调用信用付 3.1签约查询（transCode：HOS00001） 接口，查询若患者确实是符合信用付的患者，则本次开启信用付支付流程。若为否则不调用；</w:t>
            </w:r>
            <w:r>
              <w:rPr>
                <w:rFonts w:hint="eastAsia" w:ascii="宋体" w:hAnsi="宋体" w:cs="仿宋_GB2312"/>
                <w:color w:val="000000"/>
                <w:kern w:val="0"/>
                <w:sz w:val="24"/>
                <w:lang w:bidi="ar"/>
              </w:rPr>
              <w:br w:type="textWrapping"/>
            </w:r>
            <w:r>
              <w:rPr>
                <w:rFonts w:hint="eastAsia" w:ascii="宋体" w:hAnsi="宋体" w:cs="仿宋_GB2312"/>
                <w:color w:val="000000"/>
                <w:kern w:val="0"/>
                <w:sz w:val="24"/>
                <w:lang w:bidi="ar"/>
              </w:rPr>
              <w:t>2、线上挂号（微信、支付宝）：对于医保患者，挂号之后，推送是否启用信用付，若患者选择是，则本次就诊开启信用支付；</w:t>
            </w:r>
            <w:r>
              <w:rPr>
                <w:rFonts w:hint="eastAsia" w:ascii="宋体" w:hAnsi="宋体" w:cs="仿宋_GB2312"/>
                <w:color w:val="000000"/>
                <w:kern w:val="0"/>
                <w:sz w:val="24"/>
                <w:lang w:bidi="ar"/>
              </w:rPr>
              <w:br w:type="textWrapping"/>
            </w:r>
            <w:r>
              <w:rPr>
                <w:rFonts w:hint="eastAsia" w:ascii="宋体" w:hAnsi="宋体" w:cs="仿宋_GB2312"/>
                <w:color w:val="000000"/>
                <w:kern w:val="0"/>
                <w:sz w:val="24"/>
                <w:lang w:bidi="ar"/>
              </w:rPr>
              <w:t>3、自助机挂号：自助机挂号的患者，增加接口，挂号完之后，若患者是医保患者，咨询患者是否启用信用付，若患者选择是，则本次就诊开启信用支付。</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仿宋_GB2312"/>
                <w:color w:val="FF0000"/>
                <w:sz w:val="24"/>
              </w:rPr>
            </w:pPr>
            <w:r>
              <w:rPr>
                <w:rFonts w:hint="eastAsia" w:ascii="宋体" w:hAnsi="宋体" w:cs="仿宋_GB2312"/>
                <w:kern w:val="0"/>
                <w:sz w:val="24"/>
                <w:lang w:bidi="ar"/>
              </w:rPr>
              <w:t>互联网医院、急诊系统挂号：患者暂不启用信用付</w:t>
            </w:r>
          </w:p>
        </w:tc>
      </w:tr>
      <w:tr>
        <w:tblPrEx>
          <w:tblCellMar>
            <w:top w:w="0" w:type="dxa"/>
            <w:left w:w="108" w:type="dxa"/>
            <w:bottom w:w="0" w:type="dxa"/>
            <w:right w:w="108" w:type="dxa"/>
          </w:tblCellMar>
        </w:tblPrEx>
        <w:trPr>
          <w:trHeight w:val="1680" w:hRule="atLeast"/>
        </w:trPr>
        <w:tc>
          <w:tcPr>
            <w:tcW w:w="8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仿宋_GB2312"/>
                <w:color w:val="000000"/>
                <w:sz w:val="24"/>
              </w:rPr>
            </w:pPr>
            <w:r>
              <w:rPr>
                <w:rFonts w:hint="eastAsia" w:ascii="宋体" w:hAnsi="宋体" w:cs="仿宋_GB2312"/>
                <w:color w:val="000000"/>
                <w:kern w:val="0"/>
                <w:sz w:val="24"/>
                <w:lang w:bidi="ar"/>
              </w:rPr>
              <w:t>4</w:t>
            </w:r>
          </w:p>
        </w:tc>
        <w:tc>
          <w:tcPr>
            <w:tcW w:w="13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仿宋_GB2312"/>
                <w:color w:val="000000"/>
                <w:sz w:val="24"/>
              </w:rPr>
            </w:pPr>
            <w:r>
              <w:rPr>
                <w:rFonts w:hint="eastAsia" w:ascii="宋体" w:hAnsi="宋体" w:cs="仿宋_GB2312"/>
                <w:color w:val="000000"/>
                <w:kern w:val="0"/>
                <w:sz w:val="24"/>
                <w:lang w:bidi="ar"/>
              </w:rPr>
              <w:t>门诊收费改造</w:t>
            </w:r>
          </w:p>
        </w:tc>
        <w:tc>
          <w:tcPr>
            <w:tcW w:w="50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仿宋_GB2312"/>
                <w:color w:val="000000"/>
                <w:sz w:val="24"/>
              </w:rPr>
            </w:pPr>
            <w:r>
              <w:rPr>
                <w:rFonts w:hint="eastAsia" w:ascii="宋体" w:hAnsi="宋体" w:cs="仿宋_GB2312"/>
                <w:color w:val="000000"/>
                <w:kern w:val="0"/>
                <w:sz w:val="24"/>
                <w:lang w:bidi="ar"/>
              </w:rPr>
              <w:t>2.3.签名算法（SM3）</w:t>
            </w:r>
            <w:r>
              <w:rPr>
                <w:rFonts w:hint="eastAsia" w:ascii="宋体" w:hAnsi="宋体" w:cs="仿宋_GB2312"/>
                <w:color w:val="000000"/>
                <w:kern w:val="0"/>
                <w:sz w:val="24"/>
                <w:lang w:bidi="ar"/>
              </w:rPr>
              <w:br w:type="textWrapping"/>
            </w:r>
            <w:r>
              <w:rPr>
                <w:rFonts w:hint="eastAsia" w:ascii="宋体" w:hAnsi="宋体" w:cs="仿宋_GB2312"/>
                <w:color w:val="000000"/>
                <w:kern w:val="0"/>
                <w:sz w:val="24"/>
                <w:lang w:bidi="ar"/>
              </w:rPr>
              <w:t>2.4.加密算法（SM4）</w:t>
            </w:r>
            <w:r>
              <w:rPr>
                <w:rFonts w:hint="eastAsia" w:ascii="宋体" w:hAnsi="宋体" w:cs="仿宋_GB2312"/>
                <w:color w:val="000000"/>
                <w:kern w:val="0"/>
                <w:sz w:val="24"/>
                <w:lang w:bidi="ar"/>
              </w:rPr>
              <w:br w:type="textWrapping"/>
            </w:r>
            <w:r>
              <w:rPr>
                <w:rFonts w:hint="eastAsia" w:ascii="宋体" w:hAnsi="宋体" w:cs="仿宋_GB2312"/>
                <w:color w:val="000000"/>
                <w:kern w:val="0"/>
                <w:sz w:val="24"/>
                <w:lang w:bidi="ar"/>
              </w:rPr>
              <w:t>3.1.签约查询（transCode：HOS00001）</w:t>
            </w:r>
            <w:r>
              <w:rPr>
                <w:rFonts w:hint="eastAsia" w:ascii="宋体" w:hAnsi="宋体" w:cs="仿宋_GB2312"/>
                <w:color w:val="000000"/>
                <w:kern w:val="0"/>
                <w:sz w:val="24"/>
                <w:lang w:bidi="ar"/>
              </w:rPr>
              <w:br w:type="textWrapping"/>
            </w:r>
            <w:r>
              <w:rPr>
                <w:rFonts w:hint="eastAsia" w:ascii="宋体" w:hAnsi="宋体" w:cs="仿宋_GB2312"/>
                <w:color w:val="000000"/>
                <w:kern w:val="0"/>
                <w:sz w:val="24"/>
                <w:lang w:bidi="ar"/>
              </w:rPr>
              <w:t>3.2.无感支付（transCode：HOS00003）</w:t>
            </w:r>
            <w:r>
              <w:rPr>
                <w:rFonts w:hint="eastAsia" w:ascii="宋体" w:hAnsi="宋体" w:cs="仿宋_GB2312"/>
                <w:color w:val="000000"/>
                <w:kern w:val="0"/>
                <w:sz w:val="24"/>
                <w:lang w:bidi="ar"/>
              </w:rPr>
              <w:br w:type="textWrapping"/>
            </w:r>
            <w:r>
              <w:rPr>
                <w:rFonts w:hint="eastAsia" w:ascii="宋体" w:hAnsi="宋体" w:cs="仿宋_GB2312"/>
                <w:color w:val="000000"/>
                <w:kern w:val="0"/>
                <w:sz w:val="24"/>
                <w:lang w:bidi="ar"/>
              </w:rPr>
              <w:t>3.3.退费（transCode：HOS00004）</w:t>
            </w:r>
            <w:r>
              <w:rPr>
                <w:rFonts w:hint="eastAsia" w:ascii="宋体" w:hAnsi="宋体" w:cs="仿宋_GB2312"/>
                <w:color w:val="000000"/>
                <w:kern w:val="0"/>
                <w:sz w:val="24"/>
                <w:lang w:bidi="ar"/>
              </w:rPr>
              <w:br w:type="textWrapping"/>
            </w:r>
            <w:r>
              <w:rPr>
                <w:rFonts w:hint="eastAsia" w:ascii="宋体" w:hAnsi="宋体" w:cs="仿宋_GB2312"/>
                <w:color w:val="000000"/>
                <w:kern w:val="0"/>
                <w:sz w:val="24"/>
                <w:lang w:bidi="ar"/>
              </w:rPr>
              <w:t>3.7.交易状态查询（transCode：HOS00012）</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仿宋_GB2312"/>
                <w:color w:val="000000"/>
                <w:sz w:val="24"/>
              </w:rPr>
            </w:pPr>
          </w:p>
        </w:tc>
      </w:tr>
      <w:tr>
        <w:tblPrEx>
          <w:tblCellMar>
            <w:top w:w="0" w:type="dxa"/>
            <w:left w:w="108" w:type="dxa"/>
            <w:bottom w:w="0" w:type="dxa"/>
            <w:right w:w="108" w:type="dxa"/>
          </w:tblCellMar>
        </w:tblPrEx>
        <w:trPr>
          <w:trHeight w:val="1718" w:hRule="atLeast"/>
        </w:trPr>
        <w:tc>
          <w:tcPr>
            <w:tcW w:w="8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仿宋_GB2312"/>
                <w:color w:val="000000"/>
                <w:sz w:val="24"/>
              </w:rPr>
            </w:pPr>
            <w:r>
              <w:rPr>
                <w:rFonts w:hint="eastAsia" w:ascii="宋体" w:hAnsi="宋体" w:cs="仿宋_GB2312"/>
                <w:color w:val="000000"/>
                <w:kern w:val="0"/>
                <w:sz w:val="24"/>
                <w:lang w:bidi="ar"/>
              </w:rPr>
              <w:t>5</w:t>
            </w:r>
          </w:p>
        </w:tc>
        <w:tc>
          <w:tcPr>
            <w:tcW w:w="13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仿宋_GB2312"/>
                <w:color w:val="000000"/>
                <w:sz w:val="24"/>
              </w:rPr>
            </w:pPr>
            <w:r>
              <w:rPr>
                <w:rFonts w:hint="eastAsia" w:ascii="宋体" w:hAnsi="宋体" w:cs="仿宋_GB2312"/>
                <w:color w:val="000000"/>
                <w:kern w:val="0"/>
                <w:sz w:val="24"/>
                <w:lang w:bidi="ar"/>
              </w:rPr>
              <w:t>门诊医生改造</w:t>
            </w:r>
          </w:p>
        </w:tc>
        <w:tc>
          <w:tcPr>
            <w:tcW w:w="50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仿宋_GB2312"/>
                <w:color w:val="000000"/>
                <w:sz w:val="24"/>
              </w:rPr>
            </w:pPr>
            <w:r>
              <w:rPr>
                <w:rFonts w:hint="eastAsia" w:ascii="宋体" w:hAnsi="宋体" w:cs="仿宋_GB2312"/>
                <w:color w:val="000000"/>
                <w:kern w:val="0"/>
                <w:sz w:val="24"/>
                <w:lang w:bidi="ar"/>
              </w:rPr>
              <w:t>2.3.签名算法（SM3）</w:t>
            </w:r>
            <w:r>
              <w:rPr>
                <w:rFonts w:hint="eastAsia" w:ascii="宋体" w:hAnsi="宋体" w:cs="仿宋_GB2312"/>
                <w:color w:val="000000"/>
                <w:kern w:val="0"/>
                <w:sz w:val="24"/>
                <w:lang w:bidi="ar"/>
              </w:rPr>
              <w:br w:type="textWrapping"/>
            </w:r>
            <w:r>
              <w:rPr>
                <w:rFonts w:hint="eastAsia" w:ascii="宋体" w:hAnsi="宋体" w:cs="仿宋_GB2312"/>
                <w:color w:val="000000"/>
                <w:kern w:val="0"/>
                <w:sz w:val="24"/>
                <w:lang w:bidi="ar"/>
              </w:rPr>
              <w:t>2.4.加密算法（SM4）</w:t>
            </w:r>
            <w:r>
              <w:rPr>
                <w:rFonts w:hint="eastAsia" w:ascii="宋体" w:hAnsi="宋体" w:cs="仿宋_GB2312"/>
                <w:color w:val="000000"/>
                <w:kern w:val="0"/>
                <w:sz w:val="24"/>
                <w:lang w:bidi="ar"/>
              </w:rPr>
              <w:br w:type="textWrapping"/>
            </w:r>
            <w:r>
              <w:rPr>
                <w:rFonts w:hint="eastAsia" w:ascii="宋体" w:hAnsi="宋体" w:cs="仿宋_GB2312"/>
                <w:color w:val="000000"/>
                <w:kern w:val="0"/>
                <w:sz w:val="24"/>
                <w:lang w:bidi="ar"/>
              </w:rPr>
              <w:t>3.1.签约查询（transCode：HOS00001）</w:t>
            </w:r>
            <w:r>
              <w:rPr>
                <w:rFonts w:hint="eastAsia" w:ascii="宋体" w:hAnsi="宋体" w:cs="仿宋_GB2312"/>
                <w:color w:val="000000"/>
                <w:kern w:val="0"/>
                <w:sz w:val="24"/>
                <w:lang w:bidi="ar"/>
              </w:rPr>
              <w:br w:type="textWrapping"/>
            </w:r>
            <w:r>
              <w:rPr>
                <w:rFonts w:hint="eastAsia" w:ascii="宋体" w:hAnsi="宋体" w:cs="仿宋_GB2312"/>
                <w:color w:val="000000"/>
                <w:kern w:val="0"/>
                <w:sz w:val="24"/>
                <w:lang w:bidi="ar"/>
              </w:rPr>
              <w:t>3.2.无感支付（transCode：HOS00003）</w:t>
            </w:r>
            <w:r>
              <w:rPr>
                <w:rFonts w:hint="eastAsia" w:ascii="宋体" w:hAnsi="宋体" w:cs="仿宋_GB2312"/>
                <w:color w:val="000000"/>
                <w:kern w:val="0"/>
                <w:sz w:val="24"/>
                <w:lang w:bidi="ar"/>
              </w:rPr>
              <w:br w:type="textWrapping"/>
            </w:r>
            <w:r>
              <w:rPr>
                <w:rFonts w:hint="eastAsia" w:ascii="宋体" w:hAnsi="宋体" w:cs="仿宋_GB2312"/>
                <w:color w:val="000000"/>
                <w:kern w:val="0"/>
                <w:sz w:val="24"/>
                <w:lang w:bidi="ar"/>
              </w:rPr>
              <w:t>3.3.退费（transCode：HOS00004）</w:t>
            </w:r>
            <w:r>
              <w:rPr>
                <w:rFonts w:hint="eastAsia" w:ascii="宋体" w:hAnsi="宋体" w:cs="仿宋_GB2312"/>
                <w:color w:val="000000"/>
                <w:kern w:val="0"/>
                <w:sz w:val="24"/>
                <w:lang w:bidi="ar"/>
              </w:rPr>
              <w:br w:type="textWrapping"/>
            </w:r>
            <w:r>
              <w:rPr>
                <w:rFonts w:hint="eastAsia" w:ascii="宋体" w:hAnsi="宋体" w:cs="仿宋_GB2312"/>
                <w:color w:val="000000"/>
                <w:kern w:val="0"/>
                <w:sz w:val="24"/>
                <w:lang w:bidi="ar"/>
              </w:rPr>
              <w:t>3.7.交易状态查询（transCode：HOS00012）</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仿宋_GB2312"/>
                <w:color w:val="FF0000"/>
                <w:sz w:val="24"/>
              </w:rPr>
            </w:pPr>
            <w:r>
              <w:rPr>
                <w:rFonts w:hint="eastAsia" w:ascii="宋体" w:hAnsi="宋体" w:cs="仿宋_GB2312"/>
                <w:kern w:val="0"/>
                <w:sz w:val="24"/>
                <w:lang w:bidi="ar"/>
              </w:rPr>
              <w:t>支持医保结算</w:t>
            </w:r>
            <w:r>
              <w:rPr>
                <w:rFonts w:hint="eastAsia" w:ascii="宋体" w:hAnsi="宋体" w:cs="仿宋_GB2312"/>
                <w:kern w:val="0"/>
                <w:sz w:val="24"/>
                <w:lang w:bidi="ar"/>
              </w:rPr>
              <w:br w:type="textWrapping"/>
            </w:r>
            <w:r>
              <w:rPr>
                <w:rFonts w:hint="eastAsia" w:ascii="宋体" w:hAnsi="宋体" w:cs="仿宋_GB2312"/>
                <w:kern w:val="0"/>
                <w:sz w:val="24"/>
                <w:lang w:bidi="ar"/>
              </w:rPr>
              <w:t>打印界面“返回修改”调用退费接口</w:t>
            </w:r>
            <w:r>
              <w:rPr>
                <w:rFonts w:hint="eastAsia" w:ascii="宋体" w:hAnsi="宋体" w:cs="仿宋_GB2312"/>
                <w:kern w:val="0"/>
                <w:sz w:val="24"/>
                <w:lang w:bidi="ar"/>
              </w:rPr>
              <w:br w:type="textWrapping"/>
            </w:r>
            <w:r>
              <w:rPr>
                <w:rFonts w:hint="eastAsia" w:ascii="宋体" w:hAnsi="宋体" w:cs="仿宋_GB2312"/>
                <w:kern w:val="0"/>
                <w:sz w:val="24"/>
                <w:lang w:bidi="ar"/>
              </w:rPr>
              <w:t>互联网医院患者暂时不做</w:t>
            </w:r>
          </w:p>
        </w:tc>
      </w:tr>
      <w:tr>
        <w:tblPrEx>
          <w:tblCellMar>
            <w:top w:w="0" w:type="dxa"/>
            <w:left w:w="108" w:type="dxa"/>
            <w:bottom w:w="0" w:type="dxa"/>
            <w:right w:w="108" w:type="dxa"/>
          </w:tblCellMar>
        </w:tblPrEx>
        <w:trPr>
          <w:trHeight w:val="462" w:hRule="atLeast"/>
        </w:trPr>
        <w:tc>
          <w:tcPr>
            <w:tcW w:w="8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仿宋_GB2312"/>
                <w:color w:val="000000"/>
                <w:sz w:val="24"/>
              </w:rPr>
            </w:pPr>
            <w:r>
              <w:rPr>
                <w:rFonts w:hint="eastAsia" w:ascii="宋体" w:hAnsi="宋体" w:cs="仿宋_GB2312"/>
                <w:color w:val="000000"/>
                <w:kern w:val="0"/>
                <w:sz w:val="24"/>
                <w:lang w:bidi="ar"/>
              </w:rPr>
              <w:t>6</w:t>
            </w:r>
          </w:p>
        </w:tc>
        <w:tc>
          <w:tcPr>
            <w:tcW w:w="13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仿宋_GB2312"/>
                <w:color w:val="000000"/>
                <w:sz w:val="24"/>
              </w:rPr>
            </w:pPr>
            <w:r>
              <w:rPr>
                <w:rFonts w:hint="eastAsia" w:ascii="宋体" w:hAnsi="宋体" w:cs="仿宋_GB2312"/>
                <w:color w:val="000000"/>
                <w:kern w:val="0"/>
                <w:sz w:val="24"/>
                <w:lang w:bidi="ar"/>
              </w:rPr>
              <w:t>其他</w:t>
            </w:r>
          </w:p>
        </w:tc>
        <w:tc>
          <w:tcPr>
            <w:tcW w:w="509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仿宋_GB2312"/>
                <w:color w:val="000000"/>
                <w:sz w:val="24"/>
              </w:rPr>
            </w:pPr>
            <w:r>
              <w:rPr>
                <w:rFonts w:hint="eastAsia" w:ascii="宋体" w:hAnsi="宋体" w:cs="仿宋_GB2312"/>
                <w:color w:val="000000"/>
                <w:kern w:val="0"/>
                <w:sz w:val="24"/>
                <w:lang w:bidi="ar"/>
              </w:rPr>
              <w:t>3.8.对账单查询（transCode：HOS00013）</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仿宋_GB2312"/>
                <w:color w:val="00000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595ED0"/>
    <w:multiLevelType w:val="singleLevel"/>
    <w:tmpl w:val="F5595ED0"/>
    <w:lvl w:ilvl="0" w:tentative="0">
      <w:start w:val="2"/>
      <w:numFmt w:val="chineseCounting"/>
      <w:suff w:val="nothing"/>
      <w:lvlText w:val="%1、"/>
      <w:lvlJc w:val="left"/>
      <w:rPr>
        <w:rFonts w:hint="eastAsia"/>
      </w:rPr>
    </w:lvl>
  </w:abstractNum>
  <w:abstractNum w:abstractNumId="1">
    <w:nsid w:val="4797EE7E"/>
    <w:multiLevelType w:val="singleLevel"/>
    <w:tmpl w:val="4797EE7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CB0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before="340" w:after="330" w:line="578" w:lineRule="atLeast"/>
      <w:outlineLvl w:val="0"/>
    </w:pPr>
    <w:rPr>
      <w:kern w:val="44"/>
      <w:sz w:val="44"/>
    </w:rPr>
  </w:style>
  <w:style w:type="paragraph" w:styleId="3">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1"/>
    <w:qFormat/>
    <w:uiPriority w:val="0"/>
    <w:pPr>
      <w:spacing w:line="360" w:lineRule="auto"/>
    </w:pPr>
    <w:rPr>
      <w:sz w:val="24"/>
      <w:szCs w:val="20"/>
    </w:rPr>
  </w:style>
  <w:style w:type="paragraph" w:styleId="6">
    <w:name w:val="Body Text Indent"/>
    <w:basedOn w:val="1"/>
    <w:next w:val="5"/>
    <w:qFormat/>
    <w:uiPriority w:val="0"/>
    <w:pPr>
      <w:adjustRightInd w:val="0"/>
      <w:snapToGrid w:val="0"/>
      <w:spacing w:line="400" w:lineRule="atLeast"/>
      <w:ind w:firstLine="480" w:firstLineChars="200"/>
    </w:pPr>
    <w:rPr>
      <w:rFonts w:ascii="仿宋_GB2312" w:hAnsi="宋体" w:eastAsia="仿宋_GB2312"/>
      <w:sz w:val="24"/>
    </w:rPr>
  </w:style>
  <w:style w:type="paragraph" w:styleId="7">
    <w:name w:val="Body Text First Indent 2"/>
    <w:basedOn w:val="6"/>
    <w:next w:val="4"/>
    <w:unhideWhenUsed/>
    <w:qFormat/>
    <w:uiPriority w:val="99"/>
    <w:pPr>
      <w:adjustRightInd/>
      <w:snapToGrid/>
      <w:spacing w:before="240" w:beforeLines="100" w:after="120" w:line="360" w:lineRule="auto"/>
    </w:pPr>
    <w:rPr>
      <w:rFonts w:ascii="Times New Roman" w:hAnsi="Times New Roman" w:eastAsia="宋体"/>
      <w:color w:val="000000"/>
      <w:kern w:val="0"/>
      <w:sz w:val="21"/>
    </w:rPr>
  </w:style>
  <w:style w:type="paragraph" w:styleId="10">
    <w:name w:val="List Paragraph"/>
    <w:basedOn w:val="1"/>
    <w:qFormat/>
    <w:uiPriority w:val="0"/>
    <w:pPr>
      <w:ind w:firstLine="420" w:firstLineChars="200"/>
    </w:pPr>
    <w:rPr>
      <w:rFonts w:ascii="Calibri" w:hAnsi="Calibri"/>
      <w:szCs w:val="22"/>
    </w:rPr>
  </w:style>
  <w:style w:type="paragraph" w:customStyle="1" w:styleId="11">
    <w:name w:val="列表段落1"/>
    <w:basedOn w:val="1"/>
    <w:qFormat/>
    <w:uiPriority w:val="1"/>
    <w:pPr>
      <w:ind w:firstLine="420" w:firstLineChars="200"/>
    </w:pPr>
    <w:rPr>
      <w:rFonts w:ascii="微软雅黑" w:hAnsi="微软雅黑" w:eastAsia="微软雅黑" w:cs="微软雅黑"/>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2025-01-07T06:44:32Z</dcterms:created>
  <dc:creator>Administrator</dc:creator>
  <cp:lastModifiedBy>Administrator</cp:lastModifiedBy>
  <dcterms:modified xsi:type="dcterms:W3CDTF">2025-01-07T06:44:47Z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