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CDEF0">
      <w:pPr>
        <w:jc w:val="center"/>
        <w:rPr>
          <w:rFonts w:hint="eastAsia" w:ascii="Times New Roman" w:hAnsi="宋体" w:eastAsia="宋体" w:cs="Times New Roman"/>
          <w:b/>
          <w:kern w:val="28"/>
          <w:lang w:eastAsia="zh-CN"/>
        </w:rPr>
      </w:pPr>
      <w:r>
        <w:rPr>
          <w:rFonts w:hint="eastAsia" w:ascii="Times New Roman" w:hAnsi="宋体" w:eastAsia="宋体" w:cs="Times New Roman"/>
          <w:b/>
          <w:kern w:val="28"/>
          <w:lang w:eastAsia="zh-CN"/>
        </w:rPr>
        <w:t>广东省生殖科学研究所（广东省生殖医院）</w:t>
      </w:r>
      <w:r>
        <w:rPr>
          <w:rFonts w:hint="eastAsia" w:ascii="Times New Roman" w:hAnsi="宋体" w:eastAsia="宋体" w:cs="Times New Roman"/>
          <w:b/>
          <w:kern w:val="28"/>
          <w:lang w:val="en-US" w:eastAsia="zh-CN"/>
        </w:rPr>
        <w:t>超声科</w:t>
      </w:r>
      <w:r>
        <w:rPr>
          <w:rFonts w:hint="eastAsia" w:ascii="Times New Roman" w:hAnsi="宋体" w:eastAsia="宋体" w:cs="Times New Roman"/>
          <w:b/>
          <w:kern w:val="28"/>
        </w:rPr>
        <w:t>设计服务</w:t>
      </w:r>
      <w:r>
        <w:rPr>
          <w:rFonts w:hint="eastAsia" w:ascii="Times New Roman" w:hAnsi="宋体" w:eastAsia="宋体" w:cs="Times New Roman"/>
          <w:b/>
          <w:kern w:val="28"/>
          <w:lang w:eastAsia="zh-CN"/>
        </w:rPr>
        <w:t>项目</w:t>
      </w:r>
    </w:p>
    <w:p w14:paraId="56F96A1D">
      <w:pPr>
        <w:jc w:val="center"/>
        <w:rPr>
          <w:rFonts w:ascii="Times New Roman" w:hAnsi="宋体" w:eastAsia="宋体" w:cs="Times New Roman"/>
          <w:b/>
          <w:kern w:val="28"/>
        </w:rPr>
      </w:pPr>
      <w:r>
        <w:rPr>
          <w:rFonts w:hint="eastAsia" w:ascii="Times New Roman" w:hAnsi="宋体" w:eastAsia="宋体" w:cs="Times New Roman"/>
          <w:b/>
          <w:kern w:val="28"/>
        </w:rPr>
        <w:t>用户需求书</w:t>
      </w:r>
    </w:p>
    <w:p w14:paraId="36DC2656">
      <w:pPr>
        <w:spacing w:line="360" w:lineRule="auto"/>
        <w:outlineLvl w:val="0"/>
        <w:rPr>
          <w:rFonts w:hint="eastAsia" w:eastAsiaTheme="minorEastAsia"/>
          <w:kern w:val="28"/>
          <w:lang w:eastAsia="zh-CN"/>
        </w:rPr>
      </w:pPr>
      <w:r>
        <w:rPr>
          <w:rFonts w:hint="eastAsia" w:hAnsi="宋体"/>
          <w:kern w:val="28"/>
        </w:rPr>
        <w:t>一</w:t>
      </w:r>
      <w:r>
        <w:rPr>
          <w:rFonts w:hint="eastAsia" w:hAnsi="宋体"/>
          <w:kern w:val="28"/>
          <w:lang w:eastAsia="zh-CN"/>
        </w:rPr>
        <w:t>、</w:t>
      </w:r>
      <w:r>
        <w:rPr>
          <w:rFonts w:hint="eastAsia" w:hAnsi="宋体"/>
          <w:kern w:val="28"/>
        </w:rPr>
        <w:t>项目内容及需求：</w:t>
      </w:r>
      <w:r>
        <w:rPr>
          <w:rFonts w:hint="eastAsia"/>
          <w:kern w:val="28"/>
          <w:lang w:eastAsia="zh-CN"/>
        </w:rPr>
        <w:t>（</w:t>
      </w:r>
      <w:r>
        <w:rPr>
          <w:rFonts w:hint="eastAsia" w:hAnsi="宋体"/>
          <w:kern w:val="28"/>
        </w:rPr>
        <w:t>服务的名称、范围及主要内容及要求</w:t>
      </w:r>
      <w:r>
        <w:rPr>
          <w:rFonts w:hint="eastAsia"/>
          <w:kern w:val="28"/>
          <w:lang w:eastAsia="zh-CN"/>
        </w:rPr>
        <w:t>）</w:t>
      </w:r>
    </w:p>
    <w:p w14:paraId="4FEBF75F">
      <w:pPr>
        <w:spacing w:line="360" w:lineRule="auto"/>
        <w:rPr>
          <w:rFonts w:hint="eastAsia" w:ascii="Times New Roman" w:hAnsi="Times New Roman" w:eastAsia="宋体" w:cs="Tahoma"/>
          <w:kern w:val="28"/>
          <w:szCs w:val="21"/>
        </w:rPr>
      </w:pPr>
      <w:r>
        <w:rPr>
          <w:rFonts w:hint="eastAsia" w:ascii="宋体" w:hAnsi="宋体"/>
          <w:color w:val="000000"/>
          <w:szCs w:val="21"/>
          <w:lang w:eastAsia="zh-CN"/>
        </w:rPr>
        <w:t>（一）</w:t>
      </w:r>
      <w:r>
        <w:rPr>
          <w:rFonts w:hint="eastAsia" w:ascii="宋体" w:hAnsi="宋体"/>
          <w:color w:val="000000"/>
          <w:szCs w:val="21"/>
        </w:rPr>
        <w:t>基本内容：</w:t>
      </w:r>
      <w:r>
        <w:rPr>
          <w:rFonts w:hint="eastAsia" w:ascii="Times New Roman" w:hAnsi="Times New Roman" w:eastAsia="宋体" w:cs="Tahoma"/>
          <w:kern w:val="28"/>
          <w:szCs w:val="21"/>
          <w:lang w:eastAsia="zh-CN"/>
        </w:rPr>
        <w:t>广东省生殖科学研究所（广东省生殖医院）</w:t>
      </w:r>
      <w:r>
        <w:rPr>
          <w:rFonts w:hint="eastAsia" w:ascii="Times New Roman" w:hAnsi="Times New Roman" w:eastAsia="宋体" w:cs="Tahoma"/>
          <w:kern w:val="28"/>
          <w:szCs w:val="21"/>
          <w:lang w:val="en-US" w:eastAsia="zh-CN"/>
        </w:rPr>
        <w:t>超声科</w:t>
      </w:r>
      <w:r>
        <w:rPr>
          <w:rFonts w:hint="eastAsia" w:ascii="Times New Roman" w:hAnsi="Times New Roman" w:eastAsia="宋体" w:cs="Tahoma"/>
          <w:kern w:val="28"/>
          <w:szCs w:val="21"/>
        </w:rPr>
        <w:t>设计服务</w:t>
      </w:r>
    </w:p>
    <w:p w14:paraId="6C1CE971">
      <w:pPr>
        <w:spacing w:line="360" w:lineRule="auto"/>
        <w:rPr>
          <w:rFonts w:ascii="宋体" w:hAnsi="宋体" w:eastAsia="宋体"/>
          <w:szCs w:val="21"/>
        </w:rPr>
      </w:pPr>
      <w:r>
        <w:rPr>
          <w:rFonts w:hint="eastAsia" w:ascii="宋体" w:hAnsi="宋体"/>
          <w:szCs w:val="21"/>
          <w:lang w:eastAsia="zh-CN"/>
        </w:rPr>
        <w:t>（二）</w:t>
      </w:r>
      <w:r>
        <w:rPr>
          <w:rFonts w:hint="eastAsia" w:ascii="宋体" w:hAnsi="宋体"/>
          <w:szCs w:val="21"/>
        </w:rPr>
        <w:t>项目位置：</w:t>
      </w:r>
      <w:r>
        <w:rPr>
          <w:rFonts w:hint="eastAsia" w:ascii="Times New Roman" w:hAnsi="Times New Roman" w:eastAsia="宋体" w:cs="Tahoma"/>
          <w:kern w:val="28"/>
          <w:szCs w:val="21"/>
        </w:rPr>
        <w:t>广东省广州市越秀区梅东路17号</w:t>
      </w:r>
    </w:p>
    <w:p w14:paraId="333428C0">
      <w:pPr>
        <w:spacing w:line="360" w:lineRule="auto"/>
        <w:jc w:val="left"/>
        <w:rPr>
          <w:rFonts w:ascii="宋体" w:hAnsi="宋体"/>
          <w:szCs w:val="21"/>
        </w:rPr>
      </w:pPr>
      <w:r>
        <w:rPr>
          <w:rFonts w:hint="eastAsia" w:ascii="宋体" w:hAnsi="宋体"/>
          <w:szCs w:val="21"/>
          <w:lang w:eastAsia="zh-CN"/>
        </w:rPr>
        <w:t>（三）</w:t>
      </w:r>
      <w:r>
        <w:rPr>
          <w:rFonts w:hint="eastAsia" w:ascii="宋体" w:hAnsi="宋体"/>
          <w:szCs w:val="21"/>
        </w:rPr>
        <w:t>建设规模：约</w:t>
      </w:r>
      <w:r>
        <w:rPr>
          <w:rFonts w:hint="eastAsia" w:ascii="宋体" w:hAnsi="宋体"/>
          <w:szCs w:val="21"/>
          <w:lang w:val="en-US" w:eastAsia="zh-CN"/>
        </w:rPr>
        <w:t>320</w:t>
      </w:r>
      <w:r>
        <w:rPr>
          <w:rFonts w:hint="eastAsia" w:ascii="宋体" w:hAnsi="宋体"/>
          <w:szCs w:val="21"/>
        </w:rPr>
        <w:t>㎡，建筑装修工程费用约</w:t>
      </w:r>
      <w:r>
        <w:rPr>
          <w:rFonts w:hint="eastAsia" w:ascii="宋体" w:hAnsi="宋体"/>
          <w:szCs w:val="21"/>
          <w:lang w:val="en-US" w:eastAsia="zh-CN"/>
        </w:rPr>
        <w:t>119.30</w:t>
      </w:r>
      <w:r>
        <w:rPr>
          <w:rFonts w:hint="eastAsia" w:ascii="宋体" w:hAnsi="宋体"/>
          <w:szCs w:val="21"/>
        </w:rPr>
        <w:t>万元。</w:t>
      </w:r>
    </w:p>
    <w:p w14:paraId="42F0BDFE">
      <w:pPr>
        <w:spacing w:line="360" w:lineRule="auto"/>
        <w:jc w:val="left"/>
        <w:rPr>
          <w:rFonts w:ascii="宋体" w:hAnsi="宋体"/>
          <w:szCs w:val="21"/>
        </w:rPr>
      </w:pPr>
      <w:r>
        <w:rPr>
          <w:rFonts w:hint="eastAsia" w:ascii="宋体" w:hAnsi="宋体"/>
          <w:szCs w:val="21"/>
          <w:lang w:eastAsia="zh-CN"/>
        </w:rPr>
        <w:t>（四）</w:t>
      </w:r>
      <w:r>
        <w:rPr>
          <w:rFonts w:hint="eastAsia" w:ascii="宋体" w:hAnsi="宋体"/>
          <w:szCs w:val="21"/>
        </w:rPr>
        <w:t>设计范围：</w:t>
      </w:r>
      <w:r>
        <w:rPr>
          <w:rFonts w:hint="eastAsia"/>
        </w:rPr>
        <w:t>本项目主要</w:t>
      </w:r>
      <w:r>
        <w:rPr>
          <w:rFonts w:hint="eastAsia" w:ascii="宋体" w:hAnsi="宋体" w:eastAsia="宋体" w:cs="Times New Roman"/>
          <w:szCs w:val="21"/>
        </w:rPr>
        <w:t>对</w:t>
      </w:r>
      <w:r>
        <w:rPr>
          <w:rFonts w:hint="eastAsia" w:ascii="宋体" w:hAnsi="宋体" w:eastAsia="宋体" w:cs="Times New Roman"/>
          <w:szCs w:val="21"/>
          <w:lang w:eastAsia="zh-CN"/>
        </w:rPr>
        <w:t>广东省生殖科学研究所（广东省生殖医院）</w:t>
      </w:r>
      <w:r>
        <w:rPr>
          <w:rFonts w:hint="eastAsia" w:ascii="宋体" w:hAnsi="宋体" w:eastAsia="宋体" w:cs="Times New Roman"/>
          <w:szCs w:val="21"/>
          <w:lang w:val="en-US" w:eastAsia="zh-CN"/>
        </w:rPr>
        <w:t>超声科科室的</w:t>
      </w:r>
      <w:r>
        <w:rPr>
          <w:rFonts w:hint="eastAsia" w:ascii="宋体" w:hAnsi="宋体" w:eastAsia="宋体" w:cs="Times New Roman"/>
          <w:szCs w:val="21"/>
        </w:rPr>
        <w:t>设计服务</w:t>
      </w:r>
      <w:r>
        <w:rPr>
          <w:rFonts w:hint="eastAsia" w:ascii="宋体" w:hAnsi="宋体"/>
          <w:szCs w:val="21"/>
        </w:rPr>
        <w:t>。</w:t>
      </w:r>
    </w:p>
    <w:p w14:paraId="7119C651">
      <w:pPr>
        <w:spacing w:line="360" w:lineRule="auto"/>
        <w:jc w:val="left"/>
        <w:rPr>
          <w:rFonts w:ascii="宋体" w:hAnsi="宋体"/>
          <w:szCs w:val="21"/>
        </w:rPr>
      </w:pPr>
      <w:r>
        <w:rPr>
          <w:rFonts w:hint="eastAsia" w:ascii="宋体" w:hAnsi="宋体"/>
          <w:szCs w:val="21"/>
          <w:lang w:eastAsia="zh-CN"/>
        </w:rPr>
        <w:t>（五）</w:t>
      </w:r>
      <w:r>
        <w:rPr>
          <w:rFonts w:hint="eastAsia" w:ascii="宋体" w:hAnsi="宋体"/>
          <w:szCs w:val="21"/>
        </w:rPr>
        <w:t>设计要求：</w:t>
      </w:r>
    </w:p>
    <w:p w14:paraId="20BBD201">
      <w:pPr>
        <w:spacing w:line="360" w:lineRule="auto"/>
        <w:jc w:val="left"/>
        <w:outlineLvl w:val="1"/>
        <w:rPr>
          <w:rFonts w:ascii="宋体" w:hAnsi="宋体"/>
          <w:szCs w:val="21"/>
        </w:rPr>
      </w:pPr>
      <w:r>
        <w:rPr>
          <w:rFonts w:hint="eastAsia" w:ascii="宋体" w:hAnsi="宋体"/>
          <w:szCs w:val="21"/>
          <w:lang w:eastAsia="zh-CN"/>
        </w:rPr>
        <w:t>1.</w:t>
      </w:r>
      <w:r>
        <w:rPr>
          <w:rFonts w:hint="eastAsia" w:ascii="宋体" w:hAnsi="宋体"/>
          <w:szCs w:val="21"/>
        </w:rPr>
        <w:t>必须符合国家验收标准。</w:t>
      </w:r>
    </w:p>
    <w:p w14:paraId="39D5F66D">
      <w:pPr>
        <w:spacing w:line="360" w:lineRule="auto"/>
        <w:jc w:val="left"/>
        <w:rPr>
          <w:rFonts w:ascii="宋体" w:hAnsi="宋体" w:eastAsia="宋体" w:cs="Times New Roman"/>
          <w:szCs w:val="21"/>
        </w:rPr>
      </w:pPr>
      <w:r>
        <w:rPr>
          <w:rFonts w:hint="eastAsia" w:ascii="宋体" w:hAnsi="宋体"/>
          <w:szCs w:val="21"/>
          <w:lang w:eastAsia="zh-CN"/>
        </w:rPr>
        <w:t>2.</w:t>
      </w:r>
      <w:r>
        <w:rPr>
          <w:rFonts w:hint="eastAsia" w:ascii="宋体" w:hAnsi="宋体"/>
          <w:szCs w:val="21"/>
          <w:lang w:val="en-US" w:eastAsia="zh-CN"/>
        </w:rPr>
        <w:t>设计内容主要为</w:t>
      </w:r>
      <w:r>
        <w:rPr>
          <w:rFonts w:hint="eastAsia" w:ascii="宋体" w:hAnsi="宋体" w:eastAsia="宋体" w:cs="Times New Roman"/>
          <w:szCs w:val="21"/>
          <w:lang w:eastAsia="zh-CN"/>
        </w:rPr>
        <w:t>广东省生殖科学研究所（广东省生殖医院）</w:t>
      </w:r>
      <w:r>
        <w:rPr>
          <w:rFonts w:hint="eastAsia" w:ascii="宋体" w:hAnsi="宋体" w:eastAsia="宋体" w:cs="Times New Roman"/>
          <w:szCs w:val="21"/>
          <w:lang w:val="en-US" w:eastAsia="zh-CN"/>
        </w:rPr>
        <w:t>超声科B超室、造影B超室、留观室、心电图室、办公室</w:t>
      </w:r>
      <w:r>
        <w:rPr>
          <w:rFonts w:hint="eastAsia" w:ascii="宋体" w:hAnsi="宋体"/>
          <w:szCs w:val="21"/>
        </w:rPr>
        <w:t>等</w:t>
      </w:r>
      <w:r>
        <w:rPr>
          <w:rFonts w:hint="eastAsia" w:ascii="宋体" w:hAnsi="宋体" w:eastAsia="宋体" w:cs="Times New Roman"/>
          <w:szCs w:val="21"/>
        </w:rPr>
        <w:t>。</w:t>
      </w:r>
    </w:p>
    <w:p w14:paraId="5513964B">
      <w:pPr>
        <w:spacing w:line="360" w:lineRule="auto"/>
        <w:jc w:val="left"/>
        <w:outlineLvl w:val="1"/>
        <w:rPr>
          <w:rFonts w:hint="eastAsia"/>
          <w:szCs w:val="21"/>
        </w:rPr>
      </w:pPr>
      <w:r>
        <w:rPr>
          <w:rFonts w:hint="eastAsia" w:ascii="宋体" w:hAnsi="宋体"/>
          <w:szCs w:val="21"/>
          <w:lang w:eastAsia="zh-CN"/>
        </w:rPr>
        <w:t>3.</w:t>
      </w:r>
      <w:r>
        <w:rPr>
          <w:rFonts w:hint="eastAsia"/>
          <w:szCs w:val="21"/>
        </w:rPr>
        <w:t>结合使用科室需求，满足科室使用流程。</w:t>
      </w:r>
    </w:p>
    <w:p w14:paraId="1FDAF628">
      <w:pPr>
        <w:spacing w:line="360" w:lineRule="auto"/>
        <w:jc w:val="left"/>
        <w:outlineLvl w:val="1"/>
        <w:rPr>
          <w:rFonts w:hint="default" w:eastAsiaTheme="minorEastAsia"/>
          <w:szCs w:val="21"/>
          <w:lang w:val="en-US" w:eastAsia="zh-CN"/>
        </w:rPr>
      </w:pPr>
      <w:r>
        <w:rPr>
          <w:rFonts w:hint="eastAsia" w:ascii="宋体" w:hAnsi="宋体"/>
          <w:szCs w:val="21"/>
          <w:lang w:eastAsia="zh-CN"/>
        </w:rPr>
        <w:t>4.</w:t>
      </w:r>
      <w:r>
        <w:rPr>
          <w:rFonts w:hint="eastAsia"/>
          <w:szCs w:val="21"/>
          <w:lang w:val="en-US" w:eastAsia="zh-CN"/>
        </w:rPr>
        <w:t>设计范围包括平面布局、室内装修设计、给排专业、强电专业、弱电专业、医气专业、空调专业、新排风专业、消防专业设计。</w:t>
      </w:r>
    </w:p>
    <w:p w14:paraId="3182435F">
      <w:pPr>
        <w:spacing w:line="360" w:lineRule="auto"/>
        <w:jc w:val="left"/>
        <w:rPr>
          <w:rFonts w:ascii="宋体" w:hAnsi="宋体"/>
          <w:szCs w:val="21"/>
        </w:rPr>
      </w:pPr>
      <w:r>
        <w:rPr>
          <w:rFonts w:hint="eastAsia" w:ascii="宋体" w:hAnsi="宋体"/>
          <w:szCs w:val="21"/>
        </w:rPr>
        <w:t>具体实际情况以采购人意见为准。</w:t>
      </w:r>
    </w:p>
    <w:p w14:paraId="5C7F477A">
      <w:pPr>
        <w:spacing w:line="360" w:lineRule="auto"/>
        <w:rPr>
          <w:kern w:val="28"/>
        </w:rPr>
      </w:pPr>
      <w:r>
        <w:rPr>
          <w:rFonts w:hint="eastAsia" w:ascii="宋体" w:hAnsi="宋体"/>
          <w:szCs w:val="21"/>
          <w:lang w:eastAsia="zh-CN"/>
        </w:rPr>
        <w:t>5.</w:t>
      </w:r>
      <w:r>
        <w:rPr>
          <w:rFonts w:hint="eastAsia"/>
          <w:color w:val="000000"/>
          <w:kern w:val="28"/>
        </w:rPr>
        <w:t>最高</w:t>
      </w:r>
      <w:r>
        <w:rPr>
          <w:rFonts w:hint="eastAsia" w:ascii="宋体" w:hAnsi="宋体"/>
          <w:szCs w:val="21"/>
        </w:rPr>
        <w:t>限额：</w:t>
      </w:r>
      <w:r>
        <w:rPr>
          <w:rFonts w:hint="eastAsia" w:ascii="宋体" w:hAnsi="宋体"/>
          <w:b/>
          <w:bCs/>
          <w:szCs w:val="21"/>
        </w:rPr>
        <w:t>人民币</w:t>
      </w:r>
      <w:r>
        <w:rPr>
          <w:rFonts w:hint="eastAsia" w:ascii="宋体" w:hAnsi="宋体" w:eastAsia="宋体" w:cs="Times New Roman"/>
          <w:b/>
          <w:bCs/>
          <w:szCs w:val="21"/>
          <w:u w:val="single"/>
          <w:lang w:val="en-US" w:eastAsia="zh-CN"/>
        </w:rPr>
        <w:t>4</w:t>
      </w:r>
      <w:r>
        <w:rPr>
          <w:rFonts w:hint="eastAsia" w:ascii="宋体" w:hAnsi="宋体" w:eastAsia="宋体" w:cs="Times New Roman"/>
          <w:b/>
          <w:bCs/>
          <w:szCs w:val="21"/>
          <w:u w:val="single"/>
        </w:rPr>
        <w:t>.</w:t>
      </w:r>
      <w:r>
        <w:rPr>
          <w:rFonts w:hint="eastAsia" w:ascii="宋体" w:hAnsi="宋体" w:eastAsia="宋体" w:cs="Times New Roman"/>
          <w:b/>
          <w:bCs/>
          <w:szCs w:val="21"/>
          <w:u w:val="single"/>
          <w:lang w:val="en-US" w:eastAsia="zh-CN"/>
        </w:rPr>
        <w:t>05</w:t>
      </w:r>
      <w:r>
        <w:rPr>
          <w:rFonts w:hint="eastAsia" w:ascii="宋体" w:hAnsi="宋体"/>
          <w:b/>
          <w:bCs/>
          <w:szCs w:val="21"/>
        </w:rPr>
        <w:t>万元</w:t>
      </w:r>
    </w:p>
    <w:p w14:paraId="0A3FD58C">
      <w:pPr>
        <w:spacing w:line="360" w:lineRule="auto"/>
        <w:rPr>
          <w:rFonts w:cs="Tahoma"/>
          <w:kern w:val="28"/>
          <w:szCs w:val="21"/>
        </w:rPr>
      </w:pPr>
      <w:r>
        <w:rPr>
          <w:rFonts w:hint="eastAsia" w:ascii="宋体" w:hAnsi="宋体"/>
          <w:szCs w:val="21"/>
          <w:lang w:eastAsia="zh-CN"/>
        </w:rPr>
        <w:t>6</w:t>
      </w:r>
      <w:r>
        <w:rPr>
          <w:rFonts w:ascii="宋体" w:hAnsi="宋体"/>
          <w:szCs w:val="21"/>
        </w:rPr>
        <w:t>.</w:t>
      </w:r>
      <w:r>
        <w:rPr>
          <w:rFonts w:hint="eastAsia"/>
        </w:rPr>
        <w:t>实施时间：</w:t>
      </w:r>
      <w:r>
        <w:rPr>
          <w:rFonts w:hint="eastAsia" w:ascii="宋体" w:hAnsi="宋体"/>
          <w:szCs w:val="21"/>
        </w:rPr>
        <w:t>设计合同签订后5个工作日内完成方案图，方案经采购人审查批准后15个工作日内完成施工图设计。</w:t>
      </w:r>
    </w:p>
    <w:p w14:paraId="20AEC50A">
      <w:pPr>
        <w:spacing w:line="360" w:lineRule="auto"/>
        <w:rPr>
          <w:rFonts w:cs="Tahoma"/>
          <w:kern w:val="28"/>
          <w:szCs w:val="21"/>
        </w:rPr>
      </w:pPr>
      <w:r>
        <w:rPr>
          <w:rFonts w:hint="eastAsia" w:ascii="宋体" w:hAnsi="宋体"/>
          <w:szCs w:val="21"/>
          <w:lang w:eastAsia="zh-CN"/>
        </w:rPr>
        <w:t>7</w:t>
      </w:r>
      <w:r>
        <w:rPr>
          <w:rFonts w:ascii="宋体" w:hAnsi="宋体"/>
          <w:szCs w:val="21"/>
        </w:rPr>
        <w:t>.</w:t>
      </w:r>
      <w:r>
        <w:rPr>
          <w:rFonts w:hint="eastAsia" w:ascii="宋体" w:hAnsi="宋体"/>
          <w:szCs w:val="21"/>
        </w:rPr>
        <w:t>供应商</w:t>
      </w:r>
      <w:r>
        <w:rPr>
          <w:rFonts w:hint="eastAsia" w:cs="Tahoma"/>
          <w:kern w:val="28"/>
          <w:szCs w:val="21"/>
        </w:rPr>
        <w:t>应对所有采购服务进行报价，不允许只对部分服务投标报价。</w:t>
      </w:r>
    </w:p>
    <w:p w14:paraId="3E22D06E">
      <w:pPr>
        <w:spacing w:line="360" w:lineRule="auto"/>
        <w:rPr>
          <w:rFonts w:ascii="宋体" w:hAnsi="宋体"/>
          <w:szCs w:val="21"/>
        </w:rPr>
      </w:pPr>
      <w:r>
        <w:rPr>
          <w:rFonts w:hint="eastAsia" w:cs="Tahoma"/>
          <w:kern w:val="28"/>
          <w:szCs w:val="21"/>
          <w:lang w:eastAsia="zh-CN"/>
        </w:rPr>
        <w:t>二、</w:t>
      </w:r>
      <w:r>
        <w:rPr>
          <w:rFonts w:hint="eastAsia" w:ascii="宋体" w:hAnsi="宋体"/>
          <w:szCs w:val="21"/>
        </w:rPr>
        <w:t>项目技术、服务等要求</w:t>
      </w:r>
    </w:p>
    <w:p w14:paraId="06FF7EBE">
      <w:pPr>
        <w:spacing w:line="360" w:lineRule="auto"/>
        <w:outlineLvl w:val="1"/>
        <w:rPr>
          <w:rFonts w:ascii="宋体" w:hAnsi="宋体"/>
          <w:szCs w:val="21"/>
        </w:rPr>
      </w:pPr>
      <w:r>
        <w:rPr>
          <w:rFonts w:hint="eastAsia" w:ascii="宋体" w:hAnsi="宋体"/>
          <w:szCs w:val="21"/>
          <w:lang w:eastAsia="zh-CN"/>
        </w:rPr>
        <w:t>（</w:t>
      </w:r>
      <w:r>
        <w:rPr>
          <w:rFonts w:hint="eastAsia" w:ascii="宋体" w:hAnsi="宋体"/>
          <w:szCs w:val="21"/>
        </w:rPr>
        <w:t>一）技术（服务</w:t>
      </w:r>
      <w:r>
        <w:rPr>
          <w:rFonts w:hint="eastAsia" w:ascii="宋体" w:hAnsi="宋体"/>
          <w:szCs w:val="21"/>
          <w:lang w:eastAsia="zh-CN"/>
        </w:rPr>
        <w:t>）</w:t>
      </w:r>
      <w:r>
        <w:rPr>
          <w:rFonts w:hint="eastAsia" w:ascii="宋体" w:hAnsi="宋体"/>
          <w:szCs w:val="21"/>
        </w:rPr>
        <w:t>要求</w:t>
      </w:r>
    </w:p>
    <w:p w14:paraId="352D217B">
      <w:pPr>
        <w:widowControl/>
        <w:spacing w:line="360" w:lineRule="auto"/>
        <w:jc w:val="left"/>
        <w:outlineLvl w:val="2"/>
        <w:rPr>
          <w:rFonts w:ascii="宋体" w:hAnsi="宋体"/>
          <w:color w:val="000000"/>
          <w:kern w:val="0"/>
        </w:rPr>
      </w:pPr>
      <w:r>
        <w:rPr>
          <w:rFonts w:hint="eastAsia" w:ascii="宋体" w:hAnsi="宋体"/>
          <w:color w:val="000000"/>
          <w:kern w:val="0"/>
        </w:rPr>
        <w:t>1</w:t>
      </w:r>
      <w:r>
        <w:rPr>
          <w:rFonts w:hint="eastAsia" w:ascii="宋体" w:hAnsi="宋体"/>
          <w:color w:val="000000"/>
          <w:kern w:val="0"/>
          <w:lang w:eastAsia="zh-CN"/>
        </w:rPr>
        <w:t>.</w:t>
      </w:r>
      <w:r>
        <w:rPr>
          <w:rFonts w:hint="eastAsia" w:ascii="宋体" w:hAnsi="宋体"/>
          <w:color w:val="000000"/>
          <w:kern w:val="0"/>
        </w:rPr>
        <w:t>技术规格、参数</w:t>
      </w:r>
    </w:p>
    <w:p w14:paraId="79172750">
      <w:pPr>
        <w:widowControl/>
        <w:spacing w:line="360" w:lineRule="auto"/>
        <w:ind w:firstLine="420" w:firstLineChars="200"/>
        <w:jc w:val="left"/>
        <w:rPr>
          <w:rFonts w:ascii="宋体" w:hAnsi="宋体"/>
          <w:szCs w:val="21"/>
        </w:rPr>
      </w:pPr>
      <w:r>
        <w:rPr>
          <w:rFonts w:hint="eastAsia" w:ascii="宋体" w:hAnsi="宋体"/>
          <w:szCs w:val="21"/>
        </w:rPr>
        <w:t>根据实际情况编制施工设计图并加盖出图专用印章</w:t>
      </w:r>
      <w:r>
        <w:rPr>
          <w:rFonts w:hint="eastAsia" w:ascii="宋体" w:hAnsi="宋体"/>
          <w:szCs w:val="21"/>
          <w:lang w:eastAsia="zh-CN"/>
        </w:rPr>
        <w:t>（</w:t>
      </w:r>
      <w:r>
        <w:rPr>
          <w:rFonts w:hint="eastAsia" w:ascii="宋体" w:hAnsi="宋体"/>
          <w:szCs w:val="21"/>
        </w:rPr>
        <w:t>附电子版图纸</w:t>
      </w:r>
      <w:r>
        <w:rPr>
          <w:rFonts w:hint="eastAsia" w:ascii="宋体" w:hAnsi="宋体"/>
          <w:szCs w:val="21"/>
          <w:lang w:eastAsia="zh-CN"/>
        </w:rPr>
        <w:t>）</w:t>
      </w:r>
      <w:r>
        <w:rPr>
          <w:rFonts w:hint="eastAsia" w:ascii="宋体" w:hAnsi="宋体"/>
          <w:szCs w:val="21"/>
        </w:rPr>
        <w:t>；设计单位需全程参与项目方案论证、方案设计、施工图设计、施工过程变更修正及竣工资料编制。</w:t>
      </w:r>
    </w:p>
    <w:p w14:paraId="3F6A03B5">
      <w:pPr>
        <w:spacing w:line="360" w:lineRule="auto"/>
        <w:jc w:val="left"/>
        <w:outlineLvl w:val="2"/>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eastAsia="zh-CN"/>
        </w:rPr>
        <w:t>.</w:t>
      </w:r>
      <w:r>
        <w:rPr>
          <w:rFonts w:hint="eastAsia" w:ascii="宋体" w:hAnsi="宋体" w:eastAsia="宋体" w:cs="Times New Roman"/>
          <w:szCs w:val="21"/>
        </w:rPr>
        <w:t>其他技术或服务要求</w:t>
      </w:r>
    </w:p>
    <w:p w14:paraId="45415DE0">
      <w:pPr>
        <w:spacing w:line="360" w:lineRule="auto"/>
        <w:jc w:val="left"/>
        <w:rPr>
          <w:rFonts w:ascii="宋体" w:hAnsi="宋体"/>
          <w:szCs w:val="21"/>
        </w:rPr>
      </w:pPr>
      <w:r>
        <w:rPr>
          <w:rFonts w:hint="eastAsia" w:ascii="宋体" w:hAnsi="宋体"/>
          <w:szCs w:val="21"/>
        </w:rPr>
        <w:t>（1）设计工作：负责项目情况摸查，完成该项目所有建设内容的方案设计、初步设计、施工图设计；</w:t>
      </w:r>
    </w:p>
    <w:p w14:paraId="54D49E22">
      <w:pPr>
        <w:spacing w:line="360" w:lineRule="auto"/>
        <w:jc w:val="left"/>
        <w:outlineLvl w:val="3"/>
        <w:rPr>
          <w:rFonts w:ascii="宋体" w:hAnsi="宋体"/>
          <w:szCs w:val="21"/>
        </w:rPr>
      </w:pPr>
      <w:r>
        <w:rPr>
          <w:rFonts w:hint="eastAsia" w:ascii="宋体" w:hAnsi="宋体"/>
          <w:szCs w:val="21"/>
        </w:rPr>
        <w:t>（2）其他工作：</w:t>
      </w:r>
    </w:p>
    <w:p w14:paraId="080E2DC2">
      <w:pPr>
        <w:spacing w:line="360" w:lineRule="auto"/>
        <w:jc w:val="left"/>
        <w:rPr>
          <w:rFonts w:ascii="宋体" w:hAnsi="宋体"/>
          <w:szCs w:val="21"/>
        </w:rPr>
      </w:pPr>
      <w:r>
        <w:rPr>
          <w:rFonts w:hint="eastAsia" w:ascii="宋体" w:hAnsi="宋体"/>
          <w:szCs w:val="21"/>
        </w:rPr>
        <w:t>1）完成本项目招标范围内相关配合报审工作，还包括各阶段方案比选、施工阶段的设计变更等；</w:t>
      </w:r>
    </w:p>
    <w:p w14:paraId="147CEEFC">
      <w:pPr>
        <w:spacing w:line="360" w:lineRule="auto"/>
        <w:jc w:val="left"/>
        <w:rPr>
          <w:rFonts w:ascii="宋体" w:hAnsi="宋体"/>
          <w:szCs w:val="21"/>
        </w:rPr>
      </w:pPr>
      <w:r>
        <w:rPr>
          <w:rFonts w:hint="eastAsia" w:ascii="宋体" w:hAnsi="宋体"/>
          <w:szCs w:val="21"/>
        </w:rPr>
        <w:t>2）技术配合工作：采购人后续各类招标工作配合、施工配合、现场服务、竣工图编制配合服务等；</w:t>
      </w:r>
    </w:p>
    <w:p w14:paraId="3A0FB950">
      <w:pPr>
        <w:widowControl/>
        <w:spacing w:line="360" w:lineRule="auto"/>
        <w:jc w:val="left"/>
        <w:rPr>
          <w:rFonts w:ascii="宋体" w:hAnsi="宋体"/>
          <w:color w:val="000000"/>
          <w:kern w:val="0"/>
        </w:rPr>
      </w:pPr>
      <w:r>
        <w:rPr>
          <w:rFonts w:ascii="宋体" w:hAnsi="宋体"/>
          <w:szCs w:val="21"/>
        </w:rPr>
        <w:t>3）报建配合工作：包括工程建设过程中除修建性详细规划设计报批外的所有建筑、管线、专项等各类报建配合、协调等工作，并配合工程建设过程中和验收过程中各类专项报建和专项验收工作。</w:t>
      </w:r>
    </w:p>
    <w:p w14:paraId="489F8810">
      <w:pPr>
        <w:spacing w:line="360" w:lineRule="auto"/>
        <w:jc w:val="left"/>
        <w:outlineLvl w:val="1"/>
        <w:rPr>
          <w:rFonts w:ascii="宋体" w:hAnsi="宋体"/>
          <w:szCs w:val="21"/>
        </w:rPr>
      </w:pPr>
      <w:r>
        <w:rPr>
          <w:rFonts w:hint="eastAsia" w:ascii="宋体" w:hAnsi="宋体"/>
          <w:szCs w:val="21"/>
          <w:lang w:eastAsia="zh-CN"/>
        </w:rPr>
        <w:t>（</w:t>
      </w:r>
      <w:r>
        <w:rPr>
          <w:rFonts w:hint="eastAsia" w:ascii="宋体" w:hAnsi="宋体"/>
          <w:szCs w:val="21"/>
        </w:rPr>
        <w:t>二）商务要求</w:t>
      </w:r>
    </w:p>
    <w:p w14:paraId="1666805B">
      <w:pPr>
        <w:pStyle w:val="5"/>
        <w:tabs>
          <w:tab w:val="left" w:pos="993"/>
          <w:tab w:val="left" w:pos="3300"/>
        </w:tabs>
        <w:snapToGrid/>
        <w:spacing w:before="0" w:after="0" w:line="360" w:lineRule="auto"/>
        <w:ind w:firstLine="0"/>
        <w:jc w:val="left"/>
        <w:outlineLvl w:val="2"/>
        <w:rPr>
          <w:rFonts w:ascii="宋体" w:hAnsi="宋体"/>
          <w:szCs w:val="21"/>
        </w:rPr>
      </w:pPr>
      <w:r>
        <w:rPr>
          <w:rFonts w:hint="eastAsia" w:ascii="宋体" w:hAnsi="宋体"/>
          <w:szCs w:val="21"/>
        </w:rPr>
        <w:t>1、</w:t>
      </w:r>
      <w:r>
        <w:rPr>
          <w:rFonts w:hint="eastAsia" w:ascii="宋体" w:hAnsi="宋体" w:eastAsiaTheme="minorEastAsia"/>
          <w:szCs w:val="21"/>
        </w:rPr>
        <w:t>完成期限</w:t>
      </w:r>
    </w:p>
    <w:p w14:paraId="13C49CFC">
      <w:pPr>
        <w:spacing w:line="360" w:lineRule="auto"/>
        <w:jc w:val="left"/>
        <w:rPr>
          <w:rFonts w:ascii="宋体" w:hAnsi="宋体"/>
          <w:szCs w:val="21"/>
        </w:rPr>
      </w:pPr>
      <w:r>
        <w:rPr>
          <w:rFonts w:hint="eastAsia" w:ascii="宋体" w:hAnsi="宋体"/>
          <w:szCs w:val="21"/>
        </w:rPr>
        <w:t>中标人应在设计合同签订后</w:t>
      </w:r>
      <w:r>
        <w:rPr>
          <w:rFonts w:hint="eastAsia" w:ascii="宋体" w:hAnsi="宋体"/>
          <w:szCs w:val="21"/>
          <w:lang w:val="en-US" w:eastAsia="zh-CN"/>
        </w:rPr>
        <w:t>5</w:t>
      </w:r>
      <w:r>
        <w:rPr>
          <w:rFonts w:hint="eastAsia" w:ascii="宋体" w:hAnsi="宋体"/>
          <w:szCs w:val="21"/>
        </w:rPr>
        <w:t>个工作日内完成方案图，方案经采购人审查批准后</w:t>
      </w:r>
      <w:r>
        <w:rPr>
          <w:rFonts w:hint="eastAsia" w:ascii="宋体" w:hAnsi="宋体"/>
          <w:szCs w:val="21"/>
          <w:lang w:val="en-US" w:eastAsia="zh-CN"/>
        </w:rPr>
        <w:t>1</w:t>
      </w:r>
      <w:r>
        <w:rPr>
          <w:rFonts w:hint="eastAsia" w:ascii="宋体" w:hAnsi="宋体"/>
          <w:szCs w:val="21"/>
        </w:rPr>
        <w:t>5个工作日内完成施工图设计。如果延误工期，承包人向发包人支付的误期损害赔偿费每天为最终设计合同价格的0.3%；误期损害赔偿费的最高限额为最终设计合同价格的30%。</w:t>
      </w:r>
    </w:p>
    <w:p w14:paraId="08AF0DE4">
      <w:pPr>
        <w:spacing w:line="360" w:lineRule="auto"/>
        <w:jc w:val="left"/>
        <w:outlineLvl w:val="2"/>
        <w:rPr>
          <w:rFonts w:ascii="宋体" w:hAnsi="宋体"/>
          <w:szCs w:val="21"/>
        </w:rPr>
      </w:pPr>
      <w:r>
        <w:rPr>
          <w:rFonts w:hint="eastAsia" w:ascii="宋体" w:hAnsi="宋体"/>
          <w:szCs w:val="21"/>
        </w:rPr>
        <w:t>2、付款及结算方式</w:t>
      </w:r>
    </w:p>
    <w:p w14:paraId="7BC01AA6">
      <w:pPr>
        <w:spacing w:line="360" w:lineRule="auto"/>
        <w:jc w:val="left"/>
        <w:rPr>
          <w:rFonts w:ascii="宋体" w:hAnsi="宋体" w:eastAsia="宋体"/>
          <w:szCs w:val="21"/>
        </w:rPr>
      </w:pPr>
      <w:r>
        <w:rPr>
          <w:rFonts w:hint="eastAsia" w:ascii="宋体" w:hAnsi="宋体"/>
          <w:szCs w:val="21"/>
        </w:rPr>
        <w:t>（1）</w:t>
      </w:r>
      <w:r>
        <w:rPr>
          <w:rFonts w:ascii="宋体" w:hAnsi="宋体"/>
          <w:szCs w:val="21"/>
        </w:rPr>
        <w:t>本合同生效后7天内，发包人向设计人支付设计费总额的</w:t>
      </w:r>
      <w:r>
        <w:rPr>
          <w:rFonts w:hint="eastAsia" w:ascii="宋体" w:hAnsi="宋体"/>
          <w:szCs w:val="21"/>
        </w:rPr>
        <w:t>30</w:t>
      </w:r>
      <w:r>
        <w:rPr>
          <w:rFonts w:ascii="宋体" w:hAnsi="宋体"/>
          <w:szCs w:val="21"/>
        </w:rPr>
        <w:t>%预付款。</w:t>
      </w:r>
    </w:p>
    <w:p w14:paraId="772D4458">
      <w:pPr>
        <w:spacing w:line="360" w:lineRule="auto"/>
        <w:jc w:val="left"/>
        <w:rPr>
          <w:rFonts w:ascii="宋体" w:hAnsi="宋体" w:eastAsia="宋体"/>
          <w:szCs w:val="21"/>
        </w:rPr>
      </w:pPr>
      <w:r>
        <w:rPr>
          <w:rFonts w:hint="eastAsia" w:ascii="宋体" w:hAnsi="宋体"/>
          <w:szCs w:val="21"/>
        </w:rPr>
        <w:t>（</w:t>
      </w:r>
      <w:r>
        <w:rPr>
          <w:rFonts w:hint="eastAsia" w:ascii="宋体" w:hAnsi="宋体"/>
          <w:szCs w:val="21"/>
          <w:lang w:val="en-US" w:eastAsia="zh-CN"/>
        </w:rPr>
        <w:t>2</w:t>
      </w:r>
      <w:r>
        <w:rPr>
          <w:rFonts w:hint="eastAsia" w:ascii="宋体" w:hAnsi="宋体"/>
          <w:szCs w:val="21"/>
        </w:rPr>
        <w:t>）</w:t>
      </w:r>
      <w:r>
        <w:rPr>
          <w:rFonts w:ascii="宋体" w:hAnsi="宋体"/>
          <w:szCs w:val="21"/>
        </w:rPr>
        <w:t>设计人向发包人提交施工图设计文件后7天内，发包人向设计人支付设计费总额的</w:t>
      </w:r>
      <w:r>
        <w:rPr>
          <w:rFonts w:hint="eastAsia" w:ascii="宋体" w:hAnsi="宋体"/>
          <w:szCs w:val="21"/>
        </w:rPr>
        <w:t>6</w:t>
      </w:r>
      <w:r>
        <w:rPr>
          <w:rFonts w:ascii="宋体" w:hAnsi="宋体"/>
          <w:szCs w:val="21"/>
        </w:rPr>
        <w:t>0%。</w:t>
      </w:r>
    </w:p>
    <w:p w14:paraId="08AB4BC7">
      <w:pPr>
        <w:spacing w:line="360" w:lineRule="auto"/>
        <w:jc w:val="left"/>
        <w:rPr>
          <w:rFonts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ascii="宋体" w:hAnsi="宋体"/>
          <w:szCs w:val="21"/>
        </w:rPr>
        <w:t>工程竣工验收后7天内, 发包人向设计人支付全部剩余设计费</w:t>
      </w:r>
      <w:r>
        <w:rPr>
          <w:rFonts w:hint="eastAsia" w:ascii="宋体" w:hAnsi="宋体"/>
          <w:szCs w:val="21"/>
        </w:rPr>
        <w:t>10%</w:t>
      </w:r>
      <w:r>
        <w:rPr>
          <w:rFonts w:ascii="宋体" w:hAnsi="宋体"/>
          <w:szCs w:val="21"/>
        </w:rPr>
        <w:t>。</w:t>
      </w:r>
    </w:p>
    <w:p w14:paraId="49124C7B">
      <w:pPr>
        <w:rPr>
          <w:rFonts w:ascii="Times New Roman" w:hAnsi="宋体" w:eastAsia="宋体" w:cs="Times New Roman"/>
          <w:b/>
          <w:kern w:val="28"/>
        </w:rPr>
      </w:pPr>
    </w:p>
    <w:p w14:paraId="70B6F2DC">
      <w:pPr>
        <w:rPr>
          <w:rFonts w:ascii="Times New Roman" w:hAnsi="宋体" w:eastAsia="宋体" w:cs="Times New Roman"/>
          <w:b/>
          <w:kern w:val="28"/>
        </w:rPr>
      </w:pPr>
      <w:r>
        <w:rPr>
          <w:rFonts w:hint="eastAsia" w:ascii="Times New Roman" w:hAnsi="宋体" w:eastAsia="宋体" w:cs="Times New Roman"/>
          <w:b/>
          <w:kern w:val="28"/>
        </w:rPr>
        <w:t>二、评审因素</w:t>
      </w:r>
    </w:p>
    <w:p w14:paraId="7D8D1B96">
      <w:pPr>
        <w:adjustRightInd w:val="0"/>
        <w:snapToGrid w:val="0"/>
        <w:spacing w:line="360" w:lineRule="auto"/>
        <w:ind w:left="325" w:hanging="325" w:hangingChars="155"/>
        <w:rPr>
          <w:rFonts w:ascii="宋体" w:hAnsi="宋体"/>
        </w:rPr>
      </w:pPr>
      <w:r>
        <w:rPr>
          <w:rFonts w:hint="eastAsia" w:ascii="宋体" w:hAnsi="宋体"/>
        </w:rPr>
        <w:t>1、评分总值最高为100分，技术、商务及价格评分分值（权重）分配：</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13"/>
        <w:gridCol w:w="1962"/>
        <w:gridCol w:w="2154"/>
      </w:tblGrid>
      <w:tr w14:paraId="20549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13" w:type="dxa"/>
            <w:vAlign w:val="center"/>
          </w:tcPr>
          <w:p w14:paraId="5F5276E1">
            <w:pPr>
              <w:spacing w:line="460" w:lineRule="exact"/>
              <w:jc w:val="center"/>
              <w:rPr>
                <w:rFonts w:ascii="宋体" w:hAnsi="宋体"/>
              </w:rPr>
            </w:pPr>
            <w:r>
              <w:rPr>
                <w:rFonts w:hint="eastAsia" w:ascii="宋体" w:hAnsi="宋体"/>
              </w:rPr>
              <w:t>评分项目</w:t>
            </w:r>
          </w:p>
        </w:tc>
        <w:tc>
          <w:tcPr>
            <w:tcW w:w="1962" w:type="dxa"/>
            <w:vAlign w:val="center"/>
          </w:tcPr>
          <w:p w14:paraId="4A3DE70F">
            <w:pPr>
              <w:spacing w:line="460" w:lineRule="exact"/>
              <w:jc w:val="center"/>
              <w:rPr>
                <w:rFonts w:ascii="宋体" w:hAnsi="宋体"/>
              </w:rPr>
            </w:pPr>
            <w:r>
              <w:rPr>
                <w:rFonts w:hint="eastAsia" w:ascii="宋体" w:hAnsi="宋体"/>
              </w:rPr>
              <w:t>技术商务评分</w:t>
            </w:r>
          </w:p>
        </w:tc>
        <w:tc>
          <w:tcPr>
            <w:tcW w:w="2154" w:type="dxa"/>
            <w:vAlign w:val="center"/>
          </w:tcPr>
          <w:p w14:paraId="7D36F79E">
            <w:pPr>
              <w:spacing w:line="460" w:lineRule="exact"/>
              <w:jc w:val="center"/>
              <w:rPr>
                <w:rFonts w:ascii="宋体" w:hAnsi="宋体"/>
              </w:rPr>
            </w:pPr>
            <w:r>
              <w:rPr>
                <w:rFonts w:hint="eastAsia" w:ascii="宋体" w:hAnsi="宋体"/>
              </w:rPr>
              <w:t>价格评分</w:t>
            </w:r>
          </w:p>
        </w:tc>
      </w:tr>
      <w:tr w14:paraId="42F6A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2113" w:type="dxa"/>
            <w:vAlign w:val="center"/>
          </w:tcPr>
          <w:p w14:paraId="0158001A">
            <w:pPr>
              <w:spacing w:line="460" w:lineRule="exact"/>
              <w:jc w:val="center"/>
              <w:rPr>
                <w:rFonts w:ascii="宋体" w:hAnsi="宋体"/>
              </w:rPr>
            </w:pPr>
            <w:r>
              <w:rPr>
                <w:rFonts w:hint="eastAsia" w:ascii="宋体" w:hAnsi="宋体"/>
              </w:rPr>
              <w:t>权重</w:t>
            </w:r>
          </w:p>
        </w:tc>
        <w:tc>
          <w:tcPr>
            <w:tcW w:w="1962" w:type="dxa"/>
            <w:vAlign w:val="center"/>
          </w:tcPr>
          <w:p w14:paraId="4F60131D">
            <w:pPr>
              <w:spacing w:line="460" w:lineRule="exact"/>
              <w:jc w:val="center"/>
              <w:rPr>
                <w:rFonts w:ascii="宋体" w:hAnsi="宋体"/>
              </w:rPr>
            </w:pPr>
            <w:r>
              <w:rPr>
                <w:rFonts w:hint="eastAsia" w:ascii="宋体" w:hAnsi="宋体"/>
                <w:szCs w:val="21"/>
              </w:rPr>
              <w:t>7</w:t>
            </w:r>
            <w:r>
              <w:rPr>
                <w:rFonts w:ascii="宋体" w:hAnsi="宋体"/>
                <w:szCs w:val="21"/>
              </w:rPr>
              <w:t>0</w:t>
            </w:r>
          </w:p>
        </w:tc>
        <w:tc>
          <w:tcPr>
            <w:tcW w:w="2154" w:type="dxa"/>
            <w:vAlign w:val="center"/>
          </w:tcPr>
          <w:p w14:paraId="4DB59824">
            <w:pPr>
              <w:spacing w:line="460" w:lineRule="exact"/>
              <w:jc w:val="center"/>
              <w:rPr>
                <w:rFonts w:ascii="宋体" w:hAnsi="宋体"/>
                <w:i/>
              </w:rPr>
            </w:pPr>
            <w:r>
              <w:rPr>
                <w:rFonts w:hint="eastAsia" w:ascii="宋体" w:hAnsi="宋体"/>
                <w:szCs w:val="21"/>
              </w:rPr>
              <w:t>3</w:t>
            </w:r>
            <w:r>
              <w:rPr>
                <w:rFonts w:ascii="宋体" w:hAnsi="宋体"/>
                <w:szCs w:val="21"/>
              </w:rPr>
              <w:t>0</w:t>
            </w:r>
          </w:p>
        </w:tc>
      </w:tr>
    </w:tbl>
    <w:p w14:paraId="315E8CD5">
      <w:pPr>
        <w:snapToGrid w:val="0"/>
        <w:spacing w:line="360" w:lineRule="auto"/>
        <w:rPr>
          <w:rFonts w:ascii="宋体" w:hAnsi="宋体"/>
        </w:rPr>
      </w:pPr>
      <w:r>
        <w:rPr>
          <w:rFonts w:hint="eastAsia" w:ascii="宋体" w:hAnsi="宋体"/>
        </w:rPr>
        <w:t>根据上述技术、商务及价格的综合评分及其权重分配，代入下列公式计算各投标人的总得分。进入详细评审的各投标人的综合得分，按得分从高到低排名（得分相同时，投标总价低者优先）。</w:t>
      </w:r>
    </w:p>
    <w:p w14:paraId="588A3D77">
      <w:pPr>
        <w:jc w:val="center"/>
        <w:outlineLvl w:val="0"/>
        <w:rPr>
          <w:i/>
          <w:sz w:val="24"/>
        </w:rPr>
      </w:pPr>
      <w:r>
        <w:rPr>
          <w:rFonts w:hint="eastAsia"/>
          <w:b/>
          <w:sz w:val="24"/>
        </w:rPr>
        <w:t>详细评审表</w:t>
      </w:r>
    </w:p>
    <w:tbl>
      <w:tblPr>
        <w:tblStyle w:val="6"/>
        <w:tblW w:w="10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65"/>
        <w:gridCol w:w="1365"/>
        <w:gridCol w:w="5302"/>
        <w:gridCol w:w="1443"/>
      </w:tblGrid>
      <w:tr w14:paraId="3C93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804" w:type="dxa"/>
          </w:tcPr>
          <w:p w14:paraId="26CF1C4F">
            <w:pPr>
              <w:jc w:val="center"/>
              <w:rPr>
                <w:color w:val="000000"/>
                <w:szCs w:val="21"/>
              </w:rPr>
            </w:pPr>
            <w:r>
              <w:rPr>
                <w:rFonts w:hint="eastAsia"/>
                <w:color w:val="000000"/>
                <w:szCs w:val="21"/>
              </w:rPr>
              <w:t>序号</w:t>
            </w:r>
          </w:p>
        </w:tc>
        <w:tc>
          <w:tcPr>
            <w:tcW w:w="2730" w:type="dxa"/>
            <w:gridSpan w:val="2"/>
          </w:tcPr>
          <w:p w14:paraId="0360F82B">
            <w:pPr>
              <w:jc w:val="center"/>
              <w:rPr>
                <w:color w:val="000000"/>
                <w:szCs w:val="21"/>
              </w:rPr>
            </w:pPr>
            <w:r>
              <w:rPr>
                <w:rFonts w:hint="eastAsia"/>
                <w:color w:val="000000"/>
                <w:szCs w:val="21"/>
              </w:rPr>
              <w:t>评审项目</w:t>
            </w:r>
          </w:p>
        </w:tc>
        <w:tc>
          <w:tcPr>
            <w:tcW w:w="5302" w:type="dxa"/>
          </w:tcPr>
          <w:p w14:paraId="5D31DACF">
            <w:pPr>
              <w:jc w:val="center"/>
              <w:rPr>
                <w:color w:val="000000"/>
                <w:szCs w:val="21"/>
              </w:rPr>
            </w:pPr>
            <w:r>
              <w:rPr>
                <w:rFonts w:hint="eastAsia"/>
                <w:color w:val="000000"/>
                <w:szCs w:val="21"/>
              </w:rPr>
              <w:t>评议内容</w:t>
            </w:r>
          </w:p>
        </w:tc>
        <w:tc>
          <w:tcPr>
            <w:tcW w:w="1443" w:type="dxa"/>
          </w:tcPr>
          <w:p w14:paraId="54FF7C40">
            <w:pPr>
              <w:jc w:val="center"/>
              <w:rPr>
                <w:color w:val="000000"/>
                <w:szCs w:val="21"/>
              </w:rPr>
            </w:pPr>
            <w:r>
              <w:rPr>
                <w:rFonts w:hint="eastAsia"/>
                <w:color w:val="000000"/>
                <w:szCs w:val="21"/>
              </w:rPr>
              <w:t>分值</w:t>
            </w:r>
          </w:p>
        </w:tc>
      </w:tr>
      <w:tr w14:paraId="12149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03005CCB">
            <w:pPr>
              <w:jc w:val="center"/>
              <w:rPr>
                <w:color w:val="000000"/>
                <w:szCs w:val="21"/>
              </w:rPr>
            </w:pPr>
            <w:r>
              <w:rPr>
                <w:color w:val="000000"/>
                <w:szCs w:val="21"/>
              </w:rPr>
              <w:t>1</w:t>
            </w:r>
          </w:p>
        </w:tc>
        <w:tc>
          <w:tcPr>
            <w:tcW w:w="1365" w:type="dxa"/>
            <w:vMerge w:val="restart"/>
            <w:vAlign w:val="center"/>
          </w:tcPr>
          <w:p w14:paraId="7ED4C7D0">
            <w:pPr>
              <w:jc w:val="center"/>
              <w:rPr>
                <w:color w:val="000000"/>
                <w:szCs w:val="21"/>
              </w:rPr>
            </w:pPr>
            <w:r>
              <w:rPr>
                <w:rFonts w:hint="eastAsia"/>
                <w:color w:val="000000"/>
                <w:szCs w:val="21"/>
              </w:rPr>
              <w:t>技术商务</w:t>
            </w:r>
          </w:p>
        </w:tc>
        <w:tc>
          <w:tcPr>
            <w:tcW w:w="1365" w:type="dxa"/>
          </w:tcPr>
          <w:p w14:paraId="671E57F8">
            <w:pPr>
              <w:jc w:val="center"/>
              <w:rPr>
                <w:color w:val="000000"/>
                <w:szCs w:val="21"/>
              </w:rPr>
            </w:pPr>
            <w:r>
              <w:rPr>
                <w:rFonts w:hint="eastAsia"/>
                <w:color w:val="000000"/>
                <w:szCs w:val="21"/>
              </w:rPr>
              <w:t>设计方案</w:t>
            </w:r>
          </w:p>
        </w:tc>
        <w:tc>
          <w:tcPr>
            <w:tcW w:w="5302" w:type="dxa"/>
          </w:tcPr>
          <w:p w14:paraId="377E815E">
            <w:pPr>
              <w:jc w:val="left"/>
              <w:rPr>
                <w:color w:val="000000"/>
                <w:szCs w:val="21"/>
              </w:rPr>
            </w:pPr>
            <w:r>
              <w:rPr>
                <w:rFonts w:hint="eastAsia"/>
                <w:color w:val="000000"/>
                <w:szCs w:val="21"/>
              </w:rPr>
              <w:t>一档（1～10分）：符合设计要求及设计规范，功能区域划分一般，平面布置疏密一般，各专业设计完整性欠缺；对本项目的整体设计方案技术路线一般，创新性一般，可操作性一般。</w:t>
            </w:r>
          </w:p>
          <w:p w14:paraId="6F5FD051">
            <w:pPr>
              <w:jc w:val="left"/>
              <w:rPr>
                <w:color w:val="000000"/>
                <w:szCs w:val="21"/>
              </w:rPr>
            </w:pPr>
            <w:r>
              <w:rPr>
                <w:rFonts w:hint="eastAsia"/>
                <w:color w:val="000000"/>
                <w:szCs w:val="21"/>
              </w:rPr>
              <w:t>二档（11～25分）：符合设计要求及设计规范，功能区域划分明确合理，平面布置疏密较适宜，各专业设计完整性一般；对本项目的整体设计方案技术路线清晰，思路合理，创新性较强，可操作性较强。</w:t>
            </w:r>
          </w:p>
          <w:p w14:paraId="5D23D278">
            <w:pPr>
              <w:jc w:val="left"/>
              <w:rPr>
                <w:color w:val="000000"/>
                <w:szCs w:val="21"/>
              </w:rPr>
            </w:pPr>
            <w:r>
              <w:rPr>
                <w:rFonts w:hint="eastAsia"/>
                <w:color w:val="000000"/>
                <w:szCs w:val="21"/>
              </w:rPr>
              <w:t>三档（26～35分）：符合设计要求及设计规范，功能区域划分明确合理，平面布置疏密良好；对本项目的整体设计方案技术路线清晰，各专业设计完整性周密，思路合理，创新性非常强，可操作性强，编制工作有详细时间安排且计划周密，能有力保证按承诺工期完成任务。</w:t>
            </w:r>
          </w:p>
        </w:tc>
        <w:tc>
          <w:tcPr>
            <w:tcW w:w="1443" w:type="dxa"/>
          </w:tcPr>
          <w:p w14:paraId="6263CDBF">
            <w:pPr>
              <w:jc w:val="center"/>
              <w:rPr>
                <w:rFonts w:eastAsia="宋体"/>
                <w:color w:val="000000"/>
                <w:szCs w:val="21"/>
              </w:rPr>
            </w:pPr>
            <w:r>
              <w:rPr>
                <w:rFonts w:hint="eastAsia"/>
                <w:color w:val="000000"/>
                <w:szCs w:val="21"/>
              </w:rPr>
              <w:t>35</w:t>
            </w:r>
          </w:p>
        </w:tc>
      </w:tr>
      <w:tr w14:paraId="3BB5E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41D68DC2">
            <w:pPr>
              <w:jc w:val="center"/>
              <w:rPr>
                <w:color w:val="000000"/>
                <w:szCs w:val="21"/>
              </w:rPr>
            </w:pPr>
            <w:r>
              <w:rPr>
                <w:color w:val="000000"/>
                <w:szCs w:val="21"/>
              </w:rPr>
              <w:t>2</w:t>
            </w:r>
          </w:p>
        </w:tc>
        <w:tc>
          <w:tcPr>
            <w:tcW w:w="1365" w:type="dxa"/>
            <w:vMerge w:val="continue"/>
          </w:tcPr>
          <w:p w14:paraId="1EBAE456">
            <w:pPr>
              <w:jc w:val="center"/>
              <w:rPr>
                <w:color w:val="000000"/>
                <w:szCs w:val="21"/>
              </w:rPr>
            </w:pPr>
          </w:p>
        </w:tc>
        <w:tc>
          <w:tcPr>
            <w:tcW w:w="1365" w:type="dxa"/>
          </w:tcPr>
          <w:p w14:paraId="1D6299FD">
            <w:pPr>
              <w:jc w:val="center"/>
              <w:rPr>
                <w:color w:val="000000"/>
                <w:szCs w:val="21"/>
              </w:rPr>
            </w:pPr>
            <w:r>
              <w:rPr>
                <w:rFonts w:hint="eastAsia"/>
                <w:color w:val="000000"/>
                <w:szCs w:val="21"/>
              </w:rPr>
              <w:t>服务承诺</w:t>
            </w:r>
          </w:p>
        </w:tc>
        <w:tc>
          <w:tcPr>
            <w:tcW w:w="5302" w:type="dxa"/>
          </w:tcPr>
          <w:p w14:paraId="5DDCA1C3">
            <w:pPr>
              <w:jc w:val="left"/>
              <w:rPr>
                <w:color w:val="000000"/>
                <w:szCs w:val="21"/>
              </w:rPr>
            </w:pPr>
            <w:r>
              <w:rPr>
                <w:rFonts w:hint="eastAsia"/>
                <w:color w:val="000000"/>
                <w:szCs w:val="21"/>
              </w:rPr>
              <w:t>一档（1分）设计实施期间的跟踪配合措施、现场配合措施及设计方案的进一步优化措施基本满足用户需求书要求；</w:t>
            </w:r>
          </w:p>
          <w:p w14:paraId="5F4CD8E9">
            <w:pPr>
              <w:jc w:val="left"/>
              <w:rPr>
                <w:color w:val="000000"/>
                <w:szCs w:val="21"/>
              </w:rPr>
            </w:pPr>
            <w:r>
              <w:rPr>
                <w:rFonts w:hint="eastAsia"/>
                <w:color w:val="000000"/>
                <w:szCs w:val="21"/>
              </w:rPr>
              <w:t>二档（2～3分）设计实施期间的跟踪配合措施、现场配合措施及设计方案的进一步优化措施满足用户需求书要求；</w:t>
            </w:r>
          </w:p>
          <w:p w14:paraId="3D984561">
            <w:pPr>
              <w:jc w:val="left"/>
              <w:rPr>
                <w:color w:val="000000"/>
                <w:szCs w:val="21"/>
              </w:rPr>
            </w:pPr>
            <w:r>
              <w:rPr>
                <w:rFonts w:hint="eastAsia"/>
                <w:color w:val="000000"/>
                <w:szCs w:val="21"/>
              </w:rPr>
              <w:t>三档（4～5分）设计实施期间的跟踪配合措施、现场配合措施及设计方案的进一步优化措施优于用户需求书要求，当地有设计人员随时对接项目招标工作配合、施工配合、现场服务等；</w:t>
            </w:r>
          </w:p>
        </w:tc>
        <w:tc>
          <w:tcPr>
            <w:tcW w:w="1443" w:type="dxa"/>
          </w:tcPr>
          <w:p w14:paraId="19B5B1AD">
            <w:pPr>
              <w:jc w:val="center"/>
              <w:rPr>
                <w:rFonts w:eastAsia="宋体"/>
                <w:color w:val="000000"/>
                <w:szCs w:val="21"/>
              </w:rPr>
            </w:pPr>
            <w:r>
              <w:rPr>
                <w:rFonts w:hint="eastAsia"/>
                <w:color w:val="000000"/>
                <w:szCs w:val="21"/>
              </w:rPr>
              <w:t>5</w:t>
            </w:r>
          </w:p>
        </w:tc>
      </w:tr>
      <w:tr w14:paraId="13FE5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5B67F327">
            <w:pPr>
              <w:jc w:val="center"/>
              <w:rPr>
                <w:color w:val="000000"/>
                <w:szCs w:val="21"/>
              </w:rPr>
            </w:pPr>
            <w:r>
              <w:rPr>
                <w:color w:val="000000"/>
                <w:szCs w:val="21"/>
              </w:rPr>
              <w:t>3</w:t>
            </w:r>
          </w:p>
        </w:tc>
        <w:tc>
          <w:tcPr>
            <w:tcW w:w="1365" w:type="dxa"/>
            <w:vMerge w:val="continue"/>
          </w:tcPr>
          <w:p w14:paraId="61009109">
            <w:pPr>
              <w:jc w:val="center"/>
              <w:rPr>
                <w:color w:val="000000"/>
                <w:szCs w:val="21"/>
              </w:rPr>
            </w:pPr>
          </w:p>
        </w:tc>
        <w:tc>
          <w:tcPr>
            <w:tcW w:w="1365" w:type="dxa"/>
          </w:tcPr>
          <w:p w14:paraId="3D5A13C0">
            <w:pPr>
              <w:jc w:val="center"/>
              <w:rPr>
                <w:color w:val="000000"/>
                <w:szCs w:val="21"/>
              </w:rPr>
            </w:pPr>
            <w:r>
              <w:rPr>
                <w:rFonts w:hint="eastAsia"/>
                <w:color w:val="000000"/>
                <w:szCs w:val="21"/>
              </w:rPr>
              <w:t>设计人员配备</w:t>
            </w:r>
          </w:p>
        </w:tc>
        <w:tc>
          <w:tcPr>
            <w:tcW w:w="5302" w:type="dxa"/>
          </w:tcPr>
          <w:p w14:paraId="4E86A2DA">
            <w:pPr>
              <w:jc w:val="left"/>
              <w:rPr>
                <w:color w:val="000000"/>
                <w:szCs w:val="21"/>
              </w:rPr>
            </w:pPr>
            <w:r>
              <w:rPr>
                <w:rFonts w:hint="eastAsia"/>
                <w:color w:val="000000"/>
                <w:szCs w:val="21"/>
              </w:rPr>
              <w:t>一档（</w:t>
            </w:r>
            <w:r>
              <w:rPr>
                <w:rFonts w:hint="eastAsia"/>
                <w:color w:val="000000"/>
                <w:szCs w:val="21"/>
                <w:lang w:val="en-US" w:eastAsia="zh-CN"/>
              </w:rPr>
              <w:t>2</w:t>
            </w:r>
            <w:r>
              <w:rPr>
                <w:rFonts w:hint="eastAsia"/>
                <w:color w:val="000000"/>
                <w:szCs w:val="21"/>
              </w:rPr>
              <w:t>分）拟投入服务编制组配备不少于3人，人员配置合理性一般；</w:t>
            </w:r>
          </w:p>
          <w:p w14:paraId="021E3FCD">
            <w:pPr>
              <w:jc w:val="left"/>
              <w:rPr>
                <w:color w:val="000000"/>
                <w:szCs w:val="21"/>
              </w:rPr>
            </w:pPr>
            <w:r>
              <w:rPr>
                <w:rFonts w:hint="eastAsia"/>
                <w:color w:val="000000"/>
                <w:szCs w:val="21"/>
              </w:rPr>
              <w:t>二档（</w:t>
            </w:r>
            <w:r>
              <w:rPr>
                <w:rFonts w:hint="eastAsia"/>
                <w:color w:val="000000"/>
                <w:szCs w:val="21"/>
                <w:lang w:val="en-US" w:eastAsia="zh-CN"/>
              </w:rPr>
              <w:t>5</w:t>
            </w:r>
            <w:r>
              <w:rPr>
                <w:rFonts w:hint="eastAsia"/>
                <w:color w:val="000000"/>
                <w:szCs w:val="21"/>
              </w:rPr>
              <w:t>分）拟投入服务编制组负责人具有中级及以上职称资格证书，并且服务编制组配备不少于4人，人员配置合理；</w:t>
            </w:r>
          </w:p>
          <w:p w14:paraId="67836562">
            <w:pPr>
              <w:jc w:val="left"/>
              <w:rPr>
                <w:color w:val="000000"/>
                <w:szCs w:val="21"/>
              </w:rPr>
            </w:pPr>
            <w:r>
              <w:rPr>
                <w:rFonts w:hint="eastAsia"/>
                <w:color w:val="000000"/>
                <w:szCs w:val="21"/>
              </w:rPr>
              <w:t>三档（</w:t>
            </w:r>
            <w:r>
              <w:rPr>
                <w:rFonts w:hint="eastAsia"/>
                <w:color w:val="000000"/>
                <w:szCs w:val="21"/>
                <w:lang w:val="en-US" w:eastAsia="zh-CN"/>
              </w:rPr>
              <w:t>8</w:t>
            </w:r>
            <w:r>
              <w:rPr>
                <w:rFonts w:hint="eastAsia"/>
                <w:color w:val="000000"/>
                <w:szCs w:val="21"/>
              </w:rPr>
              <w:t>分）拟投入服务编制组负责人具有高级职称资格证书，并且服务编制组配备不少于</w:t>
            </w:r>
            <w:r>
              <w:rPr>
                <w:rFonts w:hint="eastAsia"/>
                <w:color w:val="000000"/>
                <w:szCs w:val="21"/>
                <w:lang w:val="en-US" w:eastAsia="zh-CN"/>
              </w:rPr>
              <w:t>5</w:t>
            </w:r>
            <w:r>
              <w:rPr>
                <w:rFonts w:hint="eastAsia"/>
                <w:color w:val="000000"/>
                <w:szCs w:val="21"/>
              </w:rPr>
              <w:t>人，人员配置齐全合理，施工过程中如遇调整和施工难题，设计人员可随时进行现场沟通；</w:t>
            </w:r>
          </w:p>
        </w:tc>
        <w:tc>
          <w:tcPr>
            <w:tcW w:w="1443" w:type="dxa"/>
          </w:tcPr>
          <w:p w14:paraId="54271CC0">
            <w:pPr>
              <w:jc w:val="center"/>
              <w:rPr>
                <w:rFonts w:hint="default" w:eastAsia="宋体"/>
                <w:color w:val="000000"/>
                <w:szCs w:val="21"/>
                <w:lang w:val="en-US" w:eastAsia="zh-CN"/>
              </w:rPr>
            </w:pPr>
            <w:r>
              <w:rPr>
                <w:rFonts w:hint="eastAsia" w:eastAsia="宋体"/>
                <w:color w:val="000000"/>
                <w:szCs w:val="21"/>
                <w:lang w:val="en-US" w:eastAsia="zh-CN"/>
              </w:rPr>
              <w:t>8</w:t>
            </w:r>
          </w:p>
        </w:tc>
      </w:tr>
      <w:tr w14:paraId="06550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336E85C3">
            <w:pPr>
              <w:jc w:val="center"/>
              <w:rPr>
                <w:color w:val="000000"/>
                <w:szCs w:val="21"/>
              </w:rPr>
            </w:pPr>
            <w:r>
              <w:rPr>
                <w:color w:val="000000"/>
                <w:szCs w:val="21"/>
              </w:rPr>
              <w:t>4</w:t>
            </w:r>
          </w:p>
        </w:tc>
        <w:tc>
          <w:tcPr>
            <w:tcW w:w="1365" w:type="dxa"/>
            <w:vMerge w:val="continue"/>
          </w:tcPr>
          <w:p w14:paraId="15DEB3B7">
            <w:pPr>
              <w:jc w:val="center"/>
              <w:rPr>
                <w:color w:val="000000"/>
                <w:szCs w:val="21"/>
              </w:rPr>
            </w:pPr>
          </w:p>
        </w:tc>
        <w:tc>
          <w:tcPr>
            <w:tcW w:w="1365" w:type="dxa"/>
          </w:tcPr>
          <w:p w14:paraId="65F16ED8">
            <w:pPr>
              <w:jc w:val="center"/>
              <w:rPr>
                <w:color w:val="000000"/>
                <w:szCs w:val="21"/>
              </w:rPr>
            </w:pPr>
            <w:r>
              <w:rPr>
                <w:rFonts w:hint="eastAsia"/>
                <w:color w:val="000000"/>
                <w:szCs w:val="21"/>
              </w:rPr>
              <w:t>企业专业能力</w:t>
            </w:r>
          </w:p>
        </w:tc>
        <w:tc>
          <w:tcPr>
            <w:tcW w:w="5302" w:type="dxa"/>
          </w:tcPr>
          <w:p w14:paraId="0870A8D9">
            <w:pPr>
              <w:jc w:val="left"/>
              <w:rPr>
                <w:color w:val="000000"/>
                <w:szCs w:val="21"/>
              </w:rPr>
            </w:pPr>
            <w:r>
              <w:rPr>
                <w:rFonts w:hint="eastAsia"/>
                <w:color w:val="000000"/>
                <w:szCs w:val="21"/>
              </w:rPr>
              <w:t>202</w:t>
            </w:r>
            <w:r>
              <w:rPr>
                <w:rFonts w:hint="eastAsia"/>
                <w:color w:val="000000"/>
                <w:szCs w:val="21"/>
                <w:lang w:val="en-US" w:eastAsia="zh-CN"/>
              </w:rPr>
              <w:t>0</w:t>
            </w:r>
            <w:r>
              <w:rPr>
                <w:rFonts w:hint="eastAsia"/>
                <w:color w:val="000000"/>
                <w:szCs w:val="21"/>
              </w:rPr>
              <w:t>年起设计过的项目获得国家级奖项的，每提供一个得</w:t>
            </w:r>
            <w:r>
              <w:rPr>
                <w:rFonts w:hint="eastAsia"/>
                <w:color w:val="000000"/>
                <w:szCs w:val="21"/>
                <w:lang w:val="en-US" w:eastAsia="zh-CN"/>
              </w:rPr>
              <w:t>4</w:t>
            </w:r>
            <w:r>
              <w:rPr>
                <w:rFonts w:hint="eastAsia"/>
                <w:color w:val="000000"/>
                <w:szCs w:val="21"/>
              </w:rPr>
              <w:t>分，获得</w:t>
            </w:r>
            <w:r>
              <w:rPr>
                <w:rFonts w:hint="eastAsia"/>
                <w:color w:val="000000"/>
                <w:szCs w:val="21"/>
                <w:lang w:val="en-US" w:eastAsia="zh-CN"/>
              </w:rPr>
              <w:t>省</w:t>
            </w:r>
            <w:r>
              <w:rPr>
                <w:rFonts w:hint="eastAsia"/>
                <w:color w:val="000000"/>
                <w:szCs w:val="21"/>
              </w:rPr>
              <w:t>级奖项的</w:t>
            </w:r>
            <w:r>
              <w:rPr>
                <w:rFonts w:hint="eastAsia"/>
                <w:color w:val="000000"/>
                <w:szCs w:val="21"/>
                <w:lang w:eastAsia="zh-CN"/>
              </w:rPr>
              <w:t>，</w:t>
            </w:r>
            <w:r>
              <w:rPr>
                <w:rFonts w:hint="eastAsia"/>
                <w:color w:val="000000"/>
                <w:szCs w:val="21"/>
              </w:rPr>
              <w:t>每提供一个得</w:t>
            </w:r>
            <w:r>
              <w:rPr>
                <w:rFonts w:hint="eastAsia"/>
                <w:color w:val="000000"/>
                <w:szCs w:val="21"/>
                <w:lang w:val="en-US" w:eastAsia="zh-CN"/>
              </w:rPr>
              <w:t>3</w:t>
            </w:r>
            <w:r>
              <w:rPr>
                <w:rFonts w:hint="eastAsia"/>
                <w:color w:val="000000"/>
                <w:szCs w:val="21"/>
              </w:rPr>
              <w:t>分</w:t>
            </w:r>
            <w:r>
              <w:rPr>
                <w:rFonts w:hint="eastAsia"/>
                <w:color w:val="000000"/>
                <w:szCs w:val="21"/>
                <w:lang w:eastAsia="zh-CN"/>
              </w:rPr>
              <w:t>，</w:t>
            </w:r>
            <w:r>
              <w:rPr>
                <w:rFonts w:hint="eastAsia"/>
                <w:color w:val="000000"/>
                <w:szCs w:val="21"/>
              </w:rPr>
              <w:t>获得</w:t>
            </w:r>
            <w:r>
              <w:rPr>
                <w:rFonts w:hint="eastAsia"/>
                <w:color w:val="000000"/>
                <w:szCs w:val="21"/>
                <w:lang w:val="en-US" w:eastAsia="zh-CN"/>
              </w:rPr>
              <w:t>市</w:t>
            </w:r>
            <w:r>
              <w:rPr>
                <w:rFonts w:hint="eastAsia"/>
                <w:color w:val="000000"/>
                <w:szCs w:val="21"/>
              </w:rPr>
              <w:t>级奖项的</w:t>
            </w:r>
            <w:r>
              <w:rPr>
                <w:rFonts w:hint="eastAsia"/>
                <w:color w:val="000000"/>
                <w:szCs w:val="21"/>
                <w:lang w:eastAsia="zh-CN"/>
              </w:rPr>
              <w:t>，</w:t>
            </w:r>
            <w:r>
              <w:rPr>
                <w:rFonts w:hint="eastAsia"/>
                <w:color w:val="000000"/>
                <w:szCs w:val="21"/>
              </w:rPr>
              <w:t>每提供一个得</w:t>
            </w:r>
            <w:r>
              <w:rPr>
                <w:rFonts w:hint="eastAsia"/>
                <w:color w:val="000000"/>
                <w:szCs w:val="21"/>
                <w:lang w:val="en-US" w:eastAsia="zh-CN"/>
              </w:rPr>
              <w:t>1</w:t>
            </w:r>
            <w:r>
              <w:rPr>
                <w:rFonts w:hint="eastAsia"/>
                <w:color w:val="000000"/>
                <w:szCs w:val="21"/>
              </w:rPr>
              <w:t>分</w:t>
            </w:r>
            <w:r>
              <w:rPr>
                <w:rFonts w:hint="eastAsia"/>
                <w:color w:val="000000"/>
                <w:szCs w:val="21"/>
                <w:lang w:eastAsia="zh-CN"/>
              </w:rPr>
              <w:t>，</w:t>
            </w:r>
            <w:r>
              <w:rPr>
                <w:rFonts w:hint="eastAsia"/>
                <w:color w:val="000000"/>
                <w:szCs w:val="21"/>
              </w:rPr>
              <w:t>最多得</w:t>
            </w:r>
            <w:r>
              <w:rPr>
                <w:rFonts w:hint="eastAsia"/>
                <w:color w:val="000000"/>
                <w:szCs w:val="21"/>
                <w:lang w:val="en-US" w:eastAsia="zh-CN"/>
              </w:rPr>
              <w:t>8</w:t>
            </w:r>
            <w:r>
              <w:rPr>
                <w:rFonts w:hint="eastAsia"/>
                <w:color w:val="000000"/>
                <w:szCs w:val="21"/>
              </w:rPr>
              <w:t>分；</w:t>
            </w:r>
          </w:p>
          <w:p w14:paraId="03498242">
            <w:pPr>
              <w:jc w:val="left"/>
              <w:rPr>
                <w:color w:val="000000"/>
                <w:szCs w:val="21"/>
              </w:rPr>
            </w:pPr>
            <w:r>
              <w:rPr>
                <w:rFonts w:hint="eastAsia"/>
                <w:color w:val="000000"/>
                <w:szCs w:val="21"/>
              </w:rPr>
              <w:t>设计团队中有人具有高级职</w:t>
            </w:r>
            <w:bookmarkStart w:id="0" w:name="_GoBack"/>
            <w:bookmarkEnd w:id="0"/>
            <w:r>
              <w:rPr>
                <w:rFonts w:hint="eastAsia"/>
                <w:color w:val="000000"/>
                <w:szCs w:val="21"/>
              </w:rPr>
              <w:t>称资格证书的，每提供一个得</w:t>
            </w:r>
            <w:r>
              <w:rPr>
                <w:rFonts w:hint="eastAsia"/>
                <w:color w:val="000000"/>
                <w:szCs w:val="21"/>
                <w:lang w:val="en-US" w:eastAsia="zh-CN"/>
              </w:rPr>
              <w:t>2</w:t>
            </w:r>
            <w:r>
              <w:rPr>
                <w:rFonts w:hint="eastAsia"/>
                <w:color w:val="000000"/>
                <w:szCs w:val="21"/>
              </w:rPr>
              <w:t>分，最多得</w:t>
            </w:r>
            <w:r>
              <w:rPr>
                <w:rFonts w:hint="eastAsia"/>
                <w:color w:val="000000"/>
                <w:szCs w:val="21"/>
                <w:lang w:val="en-US" w:eastAsia="zh-CN"/>
              </w:rPr>
              <w:t>4</w:t>
            </w:r>
            <w:r>
              <w:rPr>
                <w:rFonts w:hint="eastAsia"/>
                <w:color w:val="000000"/>
                <w:szCs w:val="21"/>
              </w:rPr>
              <w:t>分；</w:t>
            </w:r>
          </w:p>
        </w:tc>
        <w:tc>
          <w:tcPr>
            <w:tcW w:w="1443" w:type="dxa"/>
          </w:tcPr>
          <w:p w14:paraId="3C25C4F7">
            <w:pPr>
              <w:jc w:val="center"/>
              <w:rPr>
                <w:rFonts w:hint="default" w:eastAsia="宋体"/>
                <w:color w:val="000000"/>
                <w:szCs w:val="21"/>
                <w:lang w:val="en-US" w:eastAsia="zh-CN"/>
              </w:rPr>
            </w:pPr>
            <w:r>
              <w:rPr>
                <w:rFonts w:hint="eastAsia" w:eastAsia="宋体"/>
                <w:color w:val="000000"/>
                <w:szCs w:val="21"/>
                <w:lang w:val="en-US" w:eastAsia="zh-CN"/>
              </w:rPr>
              <w:t>12</w:t>
            </w:r>
          </w:p>
        </w:tc>
      </w:tr>
      <w:tr w14:paraId="003D1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7EAB39BC">
            <w:pPr>
              <w:jc w:val="center"/>
              <w:rPr>
                <w:color w:val="000000"/>
                <w:szCs w:val="21"/>
              </w:rPr>
            </w:pPr>
            <w:r>
              <w:rPr>
                <w:color w:val="000000"/>
                <w:szCs w:val="21"/>
              </w:rPr>
              <w:t>5</w:t>
            </w:r>
          </w:p>
        </w:tc>
        <w:tc>
          <w:tcPr>
            <w:tcW w:w="1365" w:type="dxa"/>
            <w:vMerge w:val="continue"/>
          </w:tcPr>
          <w:p w14:paraId="1C5301BA">
            <w:pPr>
              <w:jc w:val="center"/>
              <w:rPr>
                <w:rFonts w:ascii="Arial" w:hAnsi="Arial" w:cs="Arial"/>
              </w:rPr>
            </w:pPr>
          </w:p>
        </w:tc>
        <w:tc>
          <w:tcPr>
            <w:tcW w:w="1365" w:type="dxa"/>
          </w:tcPr>
          <w:p w14:paraId="621EC7B4">
            <w:pPr>
              <w:jc w:val="center"/>
              <w:rPr>
                <w:color w:val="000000"/>
                <w:szCs w:val="21"/>
              </w:rPr>
            </w:pPr>
            <w:r>
              <w:rPr>
                <w:rFonts w:ascii="Arial" w:hAnsi="Arial" w:cs="Arial"/>
              </w:rPr>
              <w:t>供应商业绩</w:t>
            </w:r>
          </w:p>
        </w:tc>
        <w:tc>
          <w:tcPr>
            <w:tcW w:w="5302" w:type="dxa"/>
          </w:tcPr>
          <w:p w14:paraId="6828E79D">
            <w:pPr>
              <w:jc w:val="left"/>
              <w:rPr>
                <w:rFonts w:hint="eastAsia" w:eastAsiaTheme="minorEastAsia"/>
                <w:color w:val="000000"/>
                <w:szCs w:val="21"/>
                <w:lang w:eastAsia="zh-CN"/>
              </w:rPr>
            </w:pPr>
            <w:r>
              <w:rPr>
                <w:rFonts w:ascii="Arial" w:hAnsi="Arial" w:cs="Arial"/>
              </w:rPr>
              <w:t>20</w:t>
            </w:r>
            <w:r>
              <w:rPr>
                <w:rFonts w:hint="eastAsia" w:ascii="Arial" w:hAnsi="Arial" w:cs="Arial"/>
              </w:rPr>
              <w:t>2</w:t>
            </w:r>
            <w:r>
              <w:rPr>
                <w:rFonts w:hint="eastAsia" w:ascii="Arial" w:hAnsi="Arial" w:cs="Arial"/>
                <w:lang w:val="en-US" w:eastAsia="zh-CN"/>
              </w:rPr>
              <w:t>0</w:t>
            </w:r>
            <w:r>
              <w:rPr>
                <w:rFonts w:ascii="Arial" w:hAnsi="Arial" w:cs="Arial"/>
              </w:rPr>
              <w:t>年1月1日至投标截止时间</w:t>
            </w:r>
            <w:r>
              <w:rPr>
                <w:rFonts w:hint="eastAsia" w:ascii="Arial" w:hAnsi="Arial" w:cs="Arial"/>
              </w:rPr>
              <w:t>：</w:t>
            </w:r>
            <w:r>
              <w:rPr>
                <w:rFonts w:ascii="Arial" w:hAnsi="Arial" w:cs="Arial"/>
              </w:rPr>
              <w:t>供应商</w:t>
            </w:r>
            <w:r>
              <w:rPr>
                <w:rFonts w:hint="eastAsia" w:ascii="Arial" w:hAnsi="Arial" w:cs="Arial"/>
              </w:rPr>
              <w:t>承接过设计</w:t>
            </w:r>
            <w:r>
              <w:rPr>
                <w:rFonts w:ascii="Arial" w:hAnsi="Arial" w:cs="Arial"/>
              </w:rPr>
              <w:t>项目业绩每项得</w:t>
            </w:r>
            <w:r>
              <w:rPr>
                <w:rFonts w:hint="eastAsia" w:ascii="Arial" w:hAnsi="Arial" w:cs="Arial"/>
              </w:rPr>
              <w:t>1</w:t>
            </w:r>
            <w:r>
              <w:rPr>
                <w:rFonts w:ascii="Arial" w:hAnsi="Arial" w:cs="Arial"/>
              </w:rPr>
              <w:t>分</w:t>
            </w:r>
            <w:r>
              <w:rPr>
                <w:rFonts w:hint="eastAsia" w:ascii="Arial" w:hAnsi="Arial" w:cs="Arial"/>
              </w:rPr>
              <w:t>，最多得</w:t>
            </w:r>
            <w:r>
              <w:rPr>
                <w:rFonts w:hint="eastAsia" w:ascii="Arial" w:hAnsi="Arial" w:cs="Arial"/>
                <w:lang w:val="en-US" w:eastAsia="zh-CN"/>
              </w:rPr>
              <w:t>5</w:t>
            </w:r>
            <w:r>
              <w:rPr>
                <w:rFonts w:hint="eastAsia" w:ascii="Arial" w:hAnsi="Arial" w:cs="Arial"/>
              </w:rPr>
              <w:t>分；</w:t>
            </w:r>
            <w:r>
              <w:rPr>
                <w:rFonts w:hint="eastAsia" w:ascii="Arial" w:hAnsi="Arial" w:cs="Arial"/>
                <w:lang w:val="en-US" w:eastAsia="zh-CN"/>
              </w:rPr>
              <w:t>如为</w:t>
            </w:r>
            <w:r>
              <w:rPr>
                <w:rFonts w:hint="eastAsia" w:ascii="Arial" w:hAnsi="Arial" w:cs="Arial"/>
              </w:rPr>
              <w:t>医院设计</w:t>
            </w:r>
            <w:r>
              <w:rPr>
                <w:rFonts w:ascii="Arial" w:hAnsi="Arial" w:cs="Arial"/>
              </w:rPr>
              <w:t>项目业绩每项</w:t>
            </w:r>
            <w:r>
              <w:rPr>
                <w:rFonts w:hint="eastAsia" w:ascii="Arial" w:hAnsi="Arial" w:cs="Arial"/>
                <w:lang w:val="en-US" w:eastAsia="zh-CN"/>
              </w:rPr>
              <w:t>加</w:t>
            </w:r>
            <w:r>
              <w:rPr>
                <w:rFonts w:hint="eastAsia" w:ascii="Arial" w:hAnsi="Arial" w:cs="Arial"/>
              </w:rPr>
              <w:t>1</w:t>
            </w:r>
            <w:r>
              <w:rPr>
                <w:rFonts w:ascii="Arial" w:hAnsi="Arial" w:cs="Arial"/>
              </w:rPr>
              <w:t>分，最多得</w:t>
            </w:r>
            <w:r>
              <w:rPr>
                <w:rFonts w:hint="eastAsia" w:ascii="Arial" w:hAnsi="Arial" w:cs="Arial"/>
                <w:lang w:val="en-US" w:eastAsia="zh-CN"/>
              </w:rPr>
              <w:t>5</w:t>
            </w:r>
            <w:r>
              <w:rPr>
                <w:rFonts w:ascii="Arial" w:hAnsi="Arial" w:cs="Arial"/>
              </w:rPr>
              <w:t>分（需提供设计合同或中标通知书</w:t>
            </w:r>
            <w:r>
              <w:rPr>
                <w:rFonts w:hint="eastAsia" w:ascii="Arial" w:hAnsi="Arial" w:cs="Arial"/>
              </w:rPr>
              <w:t>，</w:t>
            </w:r>
            <w:r>
              <w:rPr>
                <w:rFonts w:ascii="Arial" w:hAnsi="Arial" w:cs="Arial"/>
              </w:rPr>
              <w:t>能清晰反映项目名称、</w:t>
            </w:r>
            <w:r>
              <w:rPr>
                <w:rFonts w:hint="eastAsia" w:ascii="Arial" w:hAnsi="Arial" w:cs="Arial"/>
              </w:rPr>
              <w:t>金额</w:t>
            </w:r>
            <w:r>
              <w:rPr>
                <w:rFonts w:ascii="Arial" w:hAnsi="Arial" w:cs="Arial"/>
              </w:rPr>
              <w:t>、业主名称</w:t>
            </w:r>
            <w:r>
              <w:rPr>
                <w:rFonts w:hint="eastAsia" w:ascii="Arial" w:hAnsi="Arial" w:cs="Arial"/>
              </w:rPr>
              <w:t>，时间以合同签订时间为准</w:t>
            </w:r>
            <w:r>
              <w:rPr>
                <w:rFonts w:ascii="Arial" w:hAnsi="Arial" w:cs="Arial"/>
              </w:rPr>
              <w:t>）</w:t>
            </w:r>
            <w:r>
              <w:rPr>
                <w:rFonts w:hint="eastAsia" w:ascii="Arial" w:hAnsi="Arial" w:cs="Arial"/>
                <w:lang w:eastAsia="zh-CN"/>
              </w:rPr>
              <w:t>；</w:t>
            </w:r>
          </w:p>
        </w:tc>
        <w:tc>
          <w:tcPr>
            <w:tcW w:w="1443" w:type="dxa"/>
          </w:tcPr>
          <w:p w14:paraId="3816750A">
            <w:pPr>
              <w:jc w:val="center"/>
              <w:rPr>
                <w:rFonts w:hint="default" w:eastAsia="宋体"/>
                <w:color w:val="000000"/>
                <w:szCs w:val="21"/>
                <w:lang w:val="en-US" w:eastAsia="zh-CN"/>
              </w:rPr>
            </w:pPr>
            <w:r>
              <w:rPr>
                <w:rFonts w:hint="eastAsia" w:eastAsia="宋体"/>
                <w:color w:val="000000"/>
                <w:szCs w:val="21"/>
                <w:lang w:val="en-US" w:eastAsia="zh-CN"/>
              </w:rPr>
              <w:t>10</w:t>
            </w:r>
          </w:p>
        </w:tc>
      </w:tr>
      <w:tr w14:paraId="1F8E6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04" w:type="dxa"/>
          </w:tcPr>
          <w:p w14:paraId="3BC42151">
            <w:pPr>
              <w:jc w:val="center"/>
              <w:rPr>
                <w:color w:val="000000"/>
                <w:szCs w:val="21"/>
              </w:rPr>
            </w:pPr>
            <w:r>
              <w:rPr>
                <w:rFonts w:hint="eastAsia"/>
                <w:color w:val="000000"/>
                <w:szCs w:val="21"/>
              </w:rPr>
              <w:t>6</w:t>
            </w:r>
          </w:p>
        </w:tc>
        <w:tc>
          <w:tcPr>
            <w:tcW w:w="1365" w:type="dxa"/>
          </w:tcPr>
          <w:p w14:paraId="7638AE65">
            <w:pPr>
              <w:jc w:val="center"/>
              <w:rPr>
                <w:color w:val="000000"/>
                <w:szCs w:val="21"/>
              </w:rPr>
            </w:pPr>
            <w:r>
              <w:rPr>
                <w:rFonts w:hint="eastAsia"/>
                <w:color w:val="000000"/>
                <w:szCs w:val="21"/>
              </w:rPr>
              <w:t>价格</w:t>
            </w:r>
          </w:p>
        </w:tc>
        <w:tc>
          <w:tcPr>
            <w:tcW w:w="1365" w:type="dxa"/>
          </w:tcPr>
          <w:p w14:paraId="349D34BA">
            <w:pPr>
              <w:jc w:val="center"/>
              <w:rPr>
                <w:color w:val="000000"/>
                <w:szCs w:val="21"/>
              </w:rPr>
            </w:pPr>
            <w:r>
              <w:rPr>
                <w:rFonts w:hint="eastAsia"/>
                <w:color w:val="000000"/>
                <w:szCs w:val="21"/>
              </w:rPr>
              <w:t>价格评审</w:t>
            </w:r>
          </w:p>
        </w:tc>
        <w:tc>
          <w:tcPr>
            <w:tcW w:w="5302" w:type="dxa"/>
          </w:tcPr>
          <w:p w14:paraId="55464A52">
            <w:pPr>
              <w:jc w:val="left"/>
              <w:rPr>
                <w:rFonts w:hint="eastAsia" w:ascii="宋体" w:hAnsi="宋体"/>
              </w:rPr>
            </w:pPr>
            <w:r>
              <w:rPr>
                <w:rFonts w:hint="eastAsia" w:ascii="宋体" w:hAnsi="宋体"/>
              </w:rPr>
              <w:t>价格分采用低价优先法计算，即满足招标文件要求且投标价格最低的投标报价为评标基准价，其价格分为满分。其他投标人的价格分统一按照下列公式计算：</w:t>
            </w:r>
          </w:p>
          <w:p w14:paraId="02C5647C">
            <w:pPr>
              <w:jc w:val="left"/>
              <w:rPr>
                <w:rFonts w:hint="eastAsia" w:ascii="宋体" w:hAnsi="宋体"/>
              </w:rPr>
            </w:pPr>
            <w:r>
              <w:rPr>
                <w:rFonts w:hint="eastAsia" w:ascii="宋体" w:hAnsi="宋体"/>
              </w:rPr>
              <w:t>投标报价得分=(评标基准价／投标报价)×</w:t>
            </w:r>
            <w:r>
              <w:rPr>
                <w:rFonts w:hint="eastAsia" w:ascii="宋体" w:hAnsi="宋体"/>
                <w:lang w:val="en-US" w:eastAsia="zh-CN"/>
              </w:rPr>
              <w:t>3</w:t>
            </w:r>
            <w:r>
              <w:rPr>
                <w:rFonts w:hint="eastAsia" w:ascii="宋体" w:hAnsi="宋体"/>
              </w:rPr>
              <w:t>0</w:t>
            </w:r>
          </w:p>
          <w:p w14:paraId="527C7267">
            <w:pPr>
              <w:jc w:val="left"/>
              <w:rPr>
                <w:color w:val="000000"/>
                <w:szCs w:val="21"/>
              </w:rPr>
            </w:pPr>
            <w:r>
              <w:rPr>
                <w:rFonts w:hint="eastAsia" w:ascii="宋体" w:hAnsi="宋体"/>
              </w:rPr>
              <w:t>备注：投标报价得分四舍五入后，小数点后保留两位有效数。</w:t>
            </w:r>
          </w:p>
        </w:tc>
        <w:tc>
          <w:tcPr>
            <w:tcW w:w="1443" w:type="dxa"/>
          </w:tcPr>
          <w:p w14:paraId="6251F410">
            <w:pPr>
              <w:jc w:val="center"/>
              <w:rPr>
                <w:color w:val="000000"/>
                <w:szCs w:val="21"/>
              </w:rPr>
            </w:pPr>
            <w:r>
              <w:rPr>
                <w:rFonts w:hint="eastAsia"/>
                <w:color w:val="000000"/>
                <w:szCs w:val="21"/>
              </w:rPr>
              <w:t>30</w:t>
            </w:r>
          </w:p>
        </w:tc>
      </w:tr>
      <w:tr w14:paraId="23D4F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8836" w:type="dxa"/>
            <w:gridSpan w:val="4"/>
          </w:tcPr>
          <w:p w14:paraId="14EF4F56">
            <w:pPr>
              <w:jc w:val="center"/>
              <w:rPr>
                <w:color w:val="000000"/>
                <w:szCs w:val="21"/>
              </w:rPr>
            </w:pPr>
            <w:r>
              <w:rPr>
                <w:rFonts w:hint="eastAsia"/>
                <w:color w:val="000000"/>
                <w:szCs w:val="21"/>
              </w:rPr>
              <w:t>合计</w:t>
            </w:r>
          </w:p>
        </w:tc>
        <w:tc>
          <w:tcPr>
            <w:tcW w:w="1443" w:type="dxa"/>
          </w:tcPr>
          <w:p w14:paraId="7DCD74A0">
            <w:pPr>
              <w:jc w:val="center"/>
              <w:rPr>
                <w:color w:val="000000"/>
                <w:szCs w:val="21"/>
              </w:rPr>
            </w:pPr>
            <w:r>
              <w:rPr>
                <w:rFonts w:hint="eastAsia"/>
                <w:color w:val="000000"/>
                <w:szCs w:val="21"/>
              </w:rPr>
              <w:t>100</w:t>
            </w:r>
          </w:p>
        </w:tc>
      </w:tr>
    </w:tbl>
    <w:p w14:paraId="67C21ED7">
      <w:pPr>
        <w:snapToGrid w:val="0"/>
        <w:spacing w:line="360" w:lineRule="auto"/>
        <w:rPr>
          <w:rFonts w:ascii="宋体" w:hAnsi="宋体"/>
        </w:rPr>
      </w:pPr>
    </w:p>
    <w:p w14:paraId="45F5FDD9">
      <w:pPr>
        <w:rPr>
          <w:rFonts w:ascii="Times New Roman" w:hAnsi="宋体" w:eastAsia="宋体" w:cs="Times New Roman"/>
          <w:b/>
          <w:kern w:val="28"/>
        </w:rPr>
      </w:pPr>
    </w:p>
    <w:sectPr>
      <w:pgSz w:w="11906" w:h="16838"/>
      <w:pgMar w:top="1440" w:right="1083" w:bottom="1440" w:left="108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91B32"/>
    <w:rsid w:val="000253B5"/>
    <w:rsid w:val="00063D3D"/>
    <w:rsid w:val="00150D00"/>
    <w:rsid w:val="0015609F"/>
    <w:rsid w:val="00253D93"/>
    <w:rsid w:val="00347AF4"/>
    <w:rsid w:val="00421607"/>
    <w:rsid w:val="006705B9"/>
    <w:rsid w:val="0081507E"/>
    <w:rsid w:val="009F5656"/>
    <w:rsid w:val="00B16781"/>
    <w:rsid w:val="00B219C8"/>
    <w:rsid w:val="00C107CE"/>
    <w:rsid w:val="00C24FD7"/>
    <w:rsid w:val="028043E0"/>
    <w:rsid w:val="05237557"/>
    <w:rsid w:val="0A77636D"/>
    <w:rsid w:val="0CC31C91"/>
    <w:rsid w:val="21F91B32"/>
    <w:rsid w:val="234D65E4"/>
    <w:rsid w:val="248A5117"/>
    <w:rsid w:val="2AFF093C"/>
    <w:rsid w:val="33C64E57"/>
    <w:rsid w:val="35A22D90"/>
    <w:rsid w:val="38F83DFB"/>
    <w:rsid w:val="49972EDC"/>
    <w:rsid w:val="4C892126"/>
    <w:rsid w:val="5A6D3157"/>
    <w:rsid w:val="5B23548E"/>
    <w:rsid w:val="65D62A9F"/>
    <w:rsid w:val="6C6677E4"/>
    <w:rsid w:val="728963BC"/>
    <w:rsid w:val="73AB1F81"/>
    <w:rsid w:val="79EE4A07"/>
    <w:rsid w:val="7A903C7E"/>
    <w:rsid w:val="7F3379FA"/>
    <w:rsid w:val="7FB9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basedOn w:val="2"/>
    <w:qFormat/>
    <w:uiPriority w:val="0"/>
    <w:pPr>
      <w:snapToGrid w:val="0"/>
      <w:spacing w:before="40" w:after="40" w:line="288" w:lineRule="auto"/>
      <w:ind w:firstLine="482"/>
    </w:pPr>
    <w:rPr>
      <w:rFonts w:ascii="仿宋_GB2312" w:hAnsi="仿宋_GB2312" w:eastAsia="仿宋_GB2312"/>
      <w:szCs w:val="20"/>
    </w:r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YYT</Company>
  <Pages>3</Pages>
  <Words>2213</Words>
  <Characters>2269</Characters>
  <Lines>18</Lines>
  <Paragraphs>5</Paragraphs>
  <TotalTime>26</TotalTime>
  <ScaleCrop>false</ScaleCrop>
  <LinksUpToDate>false</LinksUpToDate>
  <CharactersWithSpaces>2270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2025-02-20T02:07:00Z</dcterms:created>
  <dc:creator>yuling</dc:creator>
  <cp:lastModifiedBy>粤生殖</cp:lastModifiedBy>
  <dcterms:modified xsi:type="dcterms:W3CDTF">2025-04-21T09:45:56Z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B618D2A0D87043BC9B9D42251E83890A_13</vt:lpwstr>
  </property>
  <property fmtid="{D5CDD505-2E9C-101B-9397-08002B2CF9AE}" pid="4" name="KSOTemplateDocerSaveRecord">
    <vt:lpwstr>eyJoZGlkIjoiMmYyNzJhMjNmMmIyN2M4MzM5MGI4Y2E4MDk4MzBkOGYiLCJ1c2VySWQiOiIxMjU3NDM4OTQxIn0=</vt:lpwstr>
  </property>
</Properties>
</file>